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FF0000"/>
          <w:sz w:val="62"/>
          <w:szCs w:val="6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/>
          <w:color w:val="FF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/>
          <w:color w:val="FF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宋体" w:eastAsia="仿宋_GB2312"/>
          <w:color w:val="FF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海科工信法规</w:t>
      </w:r>
      <w:r>
        <w:rPr>
          <w:rFonts w:hint="eastAsia" w:ascii="仿宋_GB2312" w:hAnsi="宋体" w:eastAsia="仿宋_GB2312"/>
          <w:bCs/>
          <w:sz w:val="32"/>
          <w:szCs w:val="32"/>
        </w:rPr>
        <w:t>〔20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bCs/>
          <w:sz w:val="32"/>
          <w:szCs w:val="32"/>
        </w:rPr>
        <w:t>〕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海口市科学技术工业信息化局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关于印发《海口市科普场馆认定考核实施细则（试行）》的通知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各有关单位: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根据《海口市科普场馆认定管理实施办法》（海科工信法规〔2023〕4号），我局制定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《海口市科普场馆认定考核实施细则（试行）》，现印发执行,请认真组织实施。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" w:rightChars="23" w:firstLine="4160" w:firstLineChars="13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海口市科学技术工业信息化局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2024年3月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海口市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科普场馆认定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细则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（试行）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海口市科普场馆认定管理实施办法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科工信法规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〔2023〕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号）要求，制定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本细则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认定或者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市级科普场馆，应当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坚持实事求是、客观公正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以自查自评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实地考核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年终考核相结合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实行分级考核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科普场馆的认定和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下内容: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（一）运营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单位具备独立法人资格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、健全的管理机构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有专人具体负责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，配备相关专业讲解人员和辅导员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（二）硬件设施构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成，专业场馆展馆面积和使用、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科普基地展馆面积和使用情况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，展馆和基地配套设施完善度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（三）服务内容完成情况，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面向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社会公众开放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、全年免费开放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多少天等情况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（四）组织活动的实际成效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举办各类科普活动情况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，参加相关单位组织的科普活动场次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）根据年度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科普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工作部署需要增加的考核内容。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第四条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科普场馆的认定和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科工信局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科普工作情况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考核评分标准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确定分值。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科普场馆的认定、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考核采取百分制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考评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结果分为四个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档</w:t>
      </w:r>
      <w:r>
        <w:rPr>
          <w:rFonts w:hint="eastAsia" w:ascii="仿宋_GB2312" w:hAnsi="仿宋_GB2312" w:eastAsia="仿宋_GB2312" w:cs="仿宋_GB2312"/>
          <w:sz w:val="32"/>
          <w:szCs w:val="32"/>
        </w:rPr>
        <w:t>次:90分以上(含90分)为优秀;80分以上90分以下(含80分)为良好;60分以上80分以下(含60分)为合格;60分以下为不合格。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</w:t>
      </w:r>
      <w:r>
        <w:rPr>
          <w:rFonts w:hint="eastAsia" w:ascii="仿宋_GB2312" w:hAnsi="仿宋_GB2312" w:eastAsia="仿宋_GB2312" w:cs="仿宋_GB2312"/>
          <w:sz w:val="32"/>
          <w:szCs w:val="32"/>
        </w:rPr>
        <w:t>《海口市科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普场馆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认定考核指标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市级科普场馆的认定。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制定认定方案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每年一季度，市科工信局制定科普场馆认定工作方案并印发通知，组织有关企（事）业单位或者其他社会组织申报海口市科普场馆资格认定。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考察评选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市科工信局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组织有关专家组成科普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场馆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组，对申报单位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的科普场馆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核查、评分，提出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初评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并择优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提出初评名单。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市科工信局会同市科协及区科技管理部门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组成科普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场馆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评审小组，对专家组提交的考评成果进行审核，并推荐入选市级科普场馆名单。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市科工信局党组会议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审议批准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按认定程序发放认定文件和牌匾。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场馆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每年认定一批。期间视认定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进行补充认定。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第六条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市级科普场馆的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（一）制定考核方案。市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科工信局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制定年度考核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并会同市科协组织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（二）自查自评。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市级科普场馆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单位应当根据考核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运行满一年以上的科普场馆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开展自查自评,并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提供有关考核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情况(含自查报告和相关佐证材料)。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（三）组织考核。市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科工信局、市科协、科普专家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组成考核小组，采取听取汇报、调阅文件资料、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实地</w:t>
      </w:r>
      <w:r>
        <w:rPr>
          <w:rFonts w:hint="eastAsia" w:ascii="仿宋_GB2312" w:hAnsi="仿宋_GB2312" w:eastAsia="仿宋_GB2312" w:cs="仿宋_GB2312"/>
          <w:sz w:val="32"/>
          <w:szCs w:val="32"/>
        </w:rPr>
        <w:t>走访、抽查检查等方式对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科普场馆运行情况及社会效益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（四）审定考核结果。考核小组对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科普场馆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考核情况进行汇总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书面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考核结果，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市科工信局党组</w:t>
      </w:r>
      <w:r>
        <w:rPr>
          <w:rFonts w:hint="eastAsia" w:ascii="仿宋_GB2312" w:hAnsi="仿宋_GB2312" w:eastAsia="仿宋_GB2312" w:cs="仿宋_GB2312"/>
          <w:sz w:val="32"/>
          <w:szCs w:val="32"/>
        </w:rPr>
        <w:t>会审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第七条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考核结果运用。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（一）考核结果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被评定为优秀、良好的科普场馆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经市科工信局审核后上报市政府批准，给予奖励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考核结果被评定为不及格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科普场馆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由市科工信局责成其单位予以整改、完善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如两年内未能完成整改的，由市科工信局取消其市级科普场馆的资格。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年度考核被评定为优秀的，原则上不超过被考核科普场馆数量的30%；考核被评定为良好的，原则上不超过40%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存在违法乱纪行为的，一律不评为优秀或良好。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科普场馆的认定和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市科工信局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会同有关部门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好审核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科普场馆单位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不得虚报、谎报、拒报、迟报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科普场馆建设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，不得伪造、篡改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中发现存在弄虚作假行为或者因失职、渎职导致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科普场馆建设未能</w:t>
      </w:r>
      <w:r>
        <w:rPr>
          <w:rFonts w:hint="eastAsia" w:ascii="仿宋_GB2312" w:hAnsi="仿宋_GB2312" w:eastAsia="仿宋_GB2312" w:cs="仿宋_GB2312"/>
          <w:sz w:val="32"/>
          <w:szCs w:val="32"/>
        </w:rPr>
        <w:t>如期完成的，考核结果计零分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并予以通报批评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本考核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细则</w:t>
      </w:r>
      <w:r>
        <w:rPr>
          <w:rFonts w:hint="eastAsia" w:ascii="仿宋_GB2312" w:hAnsi="仿宋_GB2312" w:eastAsia="仿宋_GB2312" w:cs="仿宋_GB2312"/>
          <w:sz w:val="32"/>
          <w:szCs w:val="32"/>
        </w:rPr>
        <w:t>自印发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三十日后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8"/>
        <w:tblW w:w="9582" w:type="dxa"/>
        <w:tblInd w:w="-1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266"/>
        <w:gridCol w:w="2626"/>
        <w:gridCol w:w="1785"/>
        <w:gridCol w:w="1485"/>
        <w:gridCol w:w="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海口市科普场馆认定考核指标评分表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8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3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具体指标要求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评分标准（分）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一、运营机构（30分）</w:t>
            </w:r>
          </w:p>
        </w:tc>
        <w:tc>
          <w:tcPr>
            <w:tcW w:w="3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运营机构是在本市注册的独立法人、已运营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年以上（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不满足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有健全的管理机构且有专人具体负责（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配备相关专业讲解人员和辅导员（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4.有完善的管理制度和科普活动计划（10分）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不满足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5.有科普经费投入(5分)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不满足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二、硬件设施（30分）</w:t>
            </w:r>
          </w:p>
        </w:tc>
        <w:tc>
          <w:tcPr>
            <w:tcW w:w="12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展馆面积和使用情况（20分）</w:t>
            </w:r>
          </w:p>
        </w:tc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专业场馆展馆面积和使用情况（面积：m2）（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&lt;500平米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≧500平米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科普基地展馆面积和使用情况（面积：m2）（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0分）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展馆面积&lt;100平米，基地&lt;50亩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展馆面积≧100平米，基地&gt;50亩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3.属租赁场地的，租期应在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4.展馆和基地配套设施完善度（有完善的管理制度、参观指示牌、内容文字介绍等配套设施等）（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一般完善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比较完善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三、服务内容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（共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3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1.社会公众开放日（全年）（15分）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全年免费开放时间（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四、组织活动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（共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分)</w:t>
            </w:r>
          </w:p>
        </w:tc>
        <w:tc>
          <w:tcPr>
            <w:tcW w:w="3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1.举办各类科普活动（6分）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2.参加相关单位组织的科普活动场次（4分）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分：</w:t>
            </w:r>
          </w:p>
        </w:tc>
        <w:tc>
          <w:tcPr>
            <w:tcW w:w="8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评定结果：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□Ⅱ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□ 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Ⅰ档：优秀，Ⅱ档：良好，Ⅲ档：及格，Ⅳ档：不及格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签名：</w:t>
            </w:r>
          </w:p>
        </w:tc>
      </w:tr>
    </w:tbl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海口市科学技术工业信息化局办公室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footerReference r:id="rId4" w:type="even"/>
      <w:pgSz w:w="11850" w:h="16783"/>
      <w:pgMar w:top="1304" w:right="1474" w:bottom="1304" w:left="1587" w:header="851" w:footer="117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4578985</wp:posOffset>
              </wp:positionH>
              <wp:positionV relativeFrom="paragraph">
                <wp:posOffset>-83820</wp:posOffset>
              </wp:positionV>
              <wp:extent cx="1828800" cy="1828800"/>
              <wp:effectExtent l="0" t="0" r="0" b="0"/>
              <wp:wrapNone/>
              <wp:docPr id="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218" w:rightChars="104" w:firstLine="313" w:firstLineChars="112"/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60.55pt;margin-top:-6.6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vFE69dcAAAAMAQAA&#10;DwAAAAAAAAABACAAAAA4AAAAZHJzL2Rvd25yZXYueG1sUEsBAhQAFAAAAAgAh07iQEZhNZ7LAQAA&#10;fgMAAA4AAAAAAAAAAQAgAAAAPA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218" w:rightChars="104" w:firstLine="313" w:firstLineChars="112"/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39370</wp:posOffset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6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218" w:rightChars="104" w:firstLine="313" w:firstLineChars="11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3.1pt;margin-top:-3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oCRq9tQAAAAIAQAADwAA&#10;AAAAAAABACAAAAA4AAAAZHJzL2Rvd25yZXYueG1sUEsBAhQAFAAAAAgAh07iQGQLRV3LAQAAfgMA&#10;AA4AAAAAAAAAAQAgAAAAOQ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218" w:rightChars="104" w:firstLine="313" w:firstLineChars="11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Style w:val="11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F7466"/>
    <w:rsid w:val="00001CFD"/>
    <w:rsid w:val="001F6DEE"/>
    <w:rsid w:val="004222BD"/>
    <w:rsid w:val="0051236A"/>
    <w:rsid w:val="006A7877"/>
    <w:rsid w:val="007224C8"/>
    <w:rsid w:val="007E6120"/>
    <w:rsid w:val="00825DF6"/>
    <w:rsid w:val="00AB0393"/>
    <w:rsid w:val="00AB3284"/>
    <w:rsid w:val="00D15ABC"/>
    <w:rsid w:val="00F352BC"/>
    <w:rsid w:val="00F507A6"/>
    <w:rsid w:val="043138AA"/>
    <w:rsid w:val="054422D8"/>
    <w:rsid w:val="06243D23"/>
    <w:rsid w:val="0B7F43A5"/>
    <w:rsid w:val="0E360B50"/>
    <w:rsid w:val="13826CA1"/>
    <w:rsid w:val="19624268"/>
    <w:rsid w:val="1B3B7B6B"/>
    <w:rsid w:val="1D3A392E"/>
    <w:rsid w:val="1E195E32"/>
    <w:rsid w:val="1EE057F9"/>
    <w:rsid w:val="2C5B46AD"/>
    <w:rsid w:val="2FF1D622"/>
    <w:rsid w:val="37EF6A9A"/>
    <w:rsid w:val="393D5C25"/>
    <w:rsid w:val="3B33C61C"/>
    <w:rsid w:val="3B8D49CF"/>
    <w:rsid w:val="3F7F216E"/>
    <w:rsid w:val="455B395E"/>
    <w:rsid w:val="49C024AE"/>
    <w:rsid w:val="4AFE9F59"/>
    <w:rsid w:val="4CBB3A87"/>
    <w:rsid w:val="4D0B1E80"/>
    <w:rsid w:val="4F2B5635"/>
    <w:rsid w:val="55C54E22"/>
    <w:rsid w:val="5934F2F7"/>
    <w:rsid w:val="60F40378"/>
    <w:rsid w:val="65A141AE"/>
    <w:rsid w:val="66966784"/>
    <w:rsid w:val="692D6FC1"/>
    <w:rsid w:val="6ACB2AA0"/>
    <w:rsid w:val="6BBE16DC"/>
    <w:rsid w:val="71F94CFA"/>
    <w:rsid w:val="741841C5"/>
    <w:rsid w:val="7766EF9E"/>
    <w:rsid w:val="777F9370"/>
    <w:rsid w:val="77EF0B4D"/>
    <w:rsid w:val="78882AEE"/>
    <w:rsid w:val="7BF343C6"/>
    <w:rsid w:val="7BFB2BAD"/>
    <w:rsid w:val="7DFF3FEC"/>
    <w:rsid w:val="7E7CC980"/>
    <w:rsid w:val="7ECF7466"/>
    <w:rsid w:val="7FD7B1AA"/>
    <w:rsid w:val="7FFBF9E3"/>
    <w:rsid w:val="9FFD621C"/>
    <w:rsid w:val="B73E9798"/>
    <w:rsid w:val="BAEF38AD"/>
    <w:rsid w:val="DFF30309"/>
    <w:rsid w:val="E6EFFD82"/>
    <w:rsid w:val="EBAF3E8C"/>
    <w:rsid w:val="FBBBD361"/>
    <w:rsid w:val="FDF77D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Char Char Char Char"/>
    <w:basedOn w:val="1"/>
    <w:link w:val="9"/>
    <w:qFormat/>
    <w:uiPriority w:val="0"/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&#26700;&#38754;/2023&#20844;&#25991;&#27169;&#26495;-&#24066;&#31185;&#24037;&#20449;&#23616;/&#28023;&#31185;&#24037;&#20449;-&#20027;&#21160;&#20844;&#24320;&#12289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海科工信-主动公开、通知.dot</Template>
  <Pages>6</Pages>
  <Words>2094</Words>
  <Characters>2206</Characters>
  <Lines>2</Lines>
  <Paragraphs>1</Paragraphs>
  <TotalTime>22</TotalTime>
  <ScaleCrop>false</ScaleCrop>
  <LinksUpToDate>false</LinksUpToDate>
  <CharactersWithSpaces>2302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2024-01-01T08:10:00Z</dcterms:created>
  <dc:creator>greatwall</dc:creator>
  <cp:lastModifiedBy>lenovo</cp:lastModifiedBy>
  <dcterms:modified xsi:type="dcterms:W3CDTF">2024-03-27T16:09:28Z</dcterms:modified>
  <dc:title>kgx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DCF1F45934934AE2AAC244562DA23A1A</vt:lpwstr>
  </property>
</Properties>
</file>