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C24B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公文小标宋" w:hAnsi="方正公文小标宋" w:eastAsia="方正公文小标宋" w:cs="方正公文小标宋"/>
          <w:color w:val="auto"/>
          <w:sz w:val="44"/>
          <w:szCs w:val="44"/>
          <w:highlight w:val="none"/>
        </w:rPr>
      </w:pPr>
      <w:r>
        <w:rPr>
          <w:rFonts w:hint="eastAsia" w:ascii="方正公文小标宋" w:hAnsi="方正公文小标宋" w:eastAsia="方正公文小标宋" w:cs="方正公文小标宋"/>
          <w:color w:val="auto"/>
          <w:sz w:val="44"/>
          <w:szCs w:val="44"/>
          <w:highlight w:val="none"/>
        </w:rPr>
        <w:t>海口市中小企业数字化转型城市试点专项补助资金实施细则</w:t>
      </w:r>
    </w:p>
    <w:p w14:paraId="2126EEED">
      <w:pPr>
        <w:adjustRightInd w:val="0"/>
        <w:snapToGrid w:val="0"/>
        <w:spacing w:line="360" w:lineRule="auto"/>
        <w:jc w:val="center"/>
        <w:rPr>
          <w:rFonts w:ascii="黑体" w:hAnsi="黑体" w:eastAsia="黑体"/>
          <w:color w:val="auto"/>
          <w:sz w:val="36"/>
          <w:szCs w:val="36"/>
          <w:highlight w:val="none"/>
        </w:rPr>
      </w:pPr>
    </w:p>
    <w:p w14:paraId="06CAB25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ascii="Times New Roman" w:hAnsi="Times New Roman" w:eastAsia="楷体_GB2312" w:cs="Times New Roman"/>
          <w:b/>
          <w:bCs/>
          <w:color w:val="auto"/>
          <w:sz w:val="32"/>
          <w:szCs w:val="32"/>
          <w:highlight w:val="none"/>
        </w:rPr>
        <w:t>第一条</w:t>
      </w:r>
      <w:r>
        <w:rPr>
          <w:rFonts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rPr>
        <w:t>根据《关于开展中小企业数字化转型城市试点工作的通知》（财建〔2023〕117号）有关要求，为贯彻落实《海口市中小企业数字化转型城市试点专项资金使用管理办法》（海科工信法规〔2024〕2号）（以下简称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资金管理办法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），支持中小企业开展数字化改造，制定本实施细则。</w:t>
      </w:r>
    </w:p>
    <w:p w14:paraId="5165EFC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楷体_GB2312" w:cs="Times New Roman"/>
          <w:b/>
          <w:bCs/>
          <w:color w:val="auto"/>
          <w:sz w:val="32"/>
          <w:szCs w:val="32"/>
          <w:highlight w:val="none"/>
        </w:rPr>
        <w:t>第二条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bidi="ar"/>
          <w14:ligatures w14:val="standardContextual"/>
        </w:rPr>
        <w:t>本细则支持的中小企业数字化改造范围主要包括软件、云服务支出，网关、路由等必要的数据采集传输设备支出以及咨询等服务</w:t>
      </w:r>
      <w:r>
        <w:rPr>
          <w:rFonts w:hint="eastAsia" w:ascii="Times New Roman" w:hAnsi="Times New Roman" w:eastAsia="仿宋_GB2312" w:cs="Times New Roman"/>
          <w:color w:val="auto"/>
          <w:sz w:val="32"/>
          <w:szCs w:val="32"/>
          <w:highlight w:val="none"/>
          <w:lang w:val="en-US" w:eastAsia="zh-CN" w:bidi="ar"/>
          <w14:ligatures w14:val="standardContextual"/>
        </w:rPr>
        <w:t>支出</w:t>
      </w:r>
      <w:r>
        <w:rPr>
          <w:rFonts w:hint="eastAsia" w:ascii="Times New Roman" w:hAnsi="Times New Roman" w:eastAsia="仿宋_GB2312" w:cs="Times New Roman"/>
          <w:color w:val="auto"/>
          <w:sz w:val="32"/>
          <w:szCs w:val="32"/>
          <w:highlight w:val="none"/>
          <w:lang w:bidi="ar"/>
          <w14:ligatures w14:val="standardContextual"/>
        </w:rPr>
        <w:t>。</w:t>
      </w:r>
    </w:p>
    <w:p w14:paraId="2F63879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楷体_GB2312" w:cs="Times New Roman"/>
          <w:b/>
          <w:bCs/>
          <w:color w:val="auto"/>
          <w:sz w:val="32"/>
          <w:szCs w:val="32"/>
          <w:highlight w:val="none"/>
        </w:rPr>
        <w:t>第</w:t>
      </w:r>
      <w:r>
        <w:rPr>
          <w:rFonts w:hint="eastAsia" w:ascii="Times New Roman" w:hAnsi="Times New Roman" w:eastAsia="楷体_GB2312" w:cs="Times New Roman"/>
          <w:b/>
          <w:bCs/>
          <w:color w:val="auto"/>
          <w:sz w:val="32"/>
          <w:szCs w:val="32"/>
          <w:highlight w:val="none"/>
        </w:rPr>
        <w:t>三</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rPr>
        <w:t>中小企业须在海口市依法注册登记，具有独立法人资格，合法经营，依法纳税，信用记录良好，符合《中小企业划型标准规定》</w:t>
      </w:r>
      <w:r>
        <w:rPr>
          <w:rFonts w:hint="eastAsia" w:ascii="仿宋_GB2312" w:hAnsi="仿宋_GB2312" w:eastAsia="仿宋_GB2312" w:cs="仿宋_GB2312"/>
          <w:color w:val="auto"/>
          <w:sz w:val="32"/>
          <w:szCs w:val="32"/>
          <w:highlight w:val="none"/>
          <w:lang w:eastAsia="zh-CN"/>
        </w:rPr>
        <w:t>（工信部联企业〔2011〕300号）</w:t>
      </w:r>
      <w:r>
        <w:rPr>
          <w:rFonts w:hint="eastAsia" w:ascii="仿宋_GB2312" w:hAnsi="仿宋_GB2312" w:eastAsia="仿宋_GB2312" w:cs="仿宋_GB2312"/>
          <w:color w:val="auto"/>
          <w:sz w:val="32"/>
          <w:szCs w:val="32"/>
          <w:highlight w:val="none"/>
        </w:rPr>
        <w:t>。</w:t>
      </w:r>
    </w:p>
    <w:p w14:paraId="341F519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楷体_GB2312" w:cs="Times New Roman"/>
          <w:b/>
          <w:bCs/>
          <w:color w:val="auto"/>
          <w:sz w:val="32"/>
          <w:szCs w:val="32"/>
          <w:highlight w:val="none"/>
        </w:rPr>
        <w:t>第</w:t>
      </w:r>
      <w:r>
        <w:rPr>
          <w:rFonts w:hint="eastAsia" w:ascii="Times New Roman" w:hAnsi="Times New Roman" w:eastAsia="楷体_GB2312" w:cs="Times New Roman"/>
          <w:b/>
          <w:bCs/>
          <w:color w:val="auto"/>
          <w:sz w:val="32"/>
          <w:szCs w:val="32"/>
          <w:highlight w:val="none"/>
        </w:rPr>
        <w:t>四</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中小企业须属于五大细分行业之一（五大细分行业指：药品及医疗用品制造业、食品饮料制造业、输配电设备制造业、汽车零部件及配件制造业、建材制造业）。</w:t>
      </w:r>
    </w:p>
    <w:p w14:paraId="3474F12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楷体_GB2312" w:cs="Times New Roman"/>
          <w:b/>
          <w:bCs/>
          <w:color w:val="auto"/>
          <w:sz w:val="32"/>
          <w:szCs w:val="32"/>
          <w:highlight w:val="none"/>
        </w:rPr>
        <w:t>第</w:t>
      </w:r>
      <w:r>
        <w:rPr>
          <w:rFonts w:hint="eastAsia" w:ascii="Times New Roman" w:hAnsi="Times New Roman" w:eastAsia="楷体_GB2312" w:cs="Times New Roman"/>
          <w:b/>
          <w:bCs/>
          <w:color w:val="auto"/>
          <w:sz w:val="32"/>
          <w:szCs w:val="32"/>
          <w:highlight w:val="none"/>
        </w:rPr>
        <w:t>五</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中小企业未被列入经营异常名录或严重失信主体名单，</w:t>
      </w:r>
      <w:r>
        <w:rPr>
          <w:rFonts w:hint="eastAsia" w:ascii="Times New Roman" w:hAnsi="Times New Roman" w:eastAsia="仿宋_GB2312" w:cs="Times New Roman"/>
          <w:color w:val="auto"/>
          <w:sz w:val="32"/>
          <w:szCs w:val="32"/>
          <w:highlight w:val="none"/>
          <w:lang w:val="en-US" w:eastAsia="zh-CN"/>
        </w:rPr>
        <w:t>近</w:t>
      </w:r>
      <w:r>
        <w:rPr>
          <w:rFonts w:ascii="Times New Roman" w:hAnsi="Times New Roman" w:eastAsia="仿宋_GB2312" w:cs="Times New Roman"/>
          <w:color w:val="auto"/>
          <w:sz w:val="32"/>
          <w:szCs w:val="32"/>
          <w:highlight w:val="none"/>
        </w:rPr>
        <w:t>三年</w:t>
      </w:r>
      <w:r>
        <w:rPr>
          <w:rFonts w:hint="eastAsia" w:ascii="Times New Roman" w:hAnsi="Times New Roman" w:eastAsia="仿宋_GB2312" w:cs="Times New Roman"/>
          <w:color w:val="auto"/>
          <w:sz w:val="32"/>
          <w:szCs w:val="32"/>
          <w:highlight w:val="none"/>
        </w:rPr>
        <w:t>未发生重大安全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含网络安全、数据安全等</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、质量、环境污染等事故及偷漏税等违法违规行为</w:t>
      </w:r>
      <w:r>
        <w:rPr>
          <w:rFonts w:hint="eastAsia" w:ascii="Times New Roman" w:hAnsi="Times New Roman" w:eastAsia="仿宋_GB2312" w:cs="Times New Roman"/>
          <w:color w:val="auto"/>
          <w:sz w:val="32"/>
          <w:szCs w:val="32"/>
          <w:highlight w:val="none"/>
          <w:lang w:eastAsia="zh-CN"/>
        </w:rPr>
        <w:t>。</w:t>
      </w:r>
    </w:p>
    <w:p w14:paraId="3AC2425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lang w:bidi="ar"/>
        </w:rPr>
      </w:pPr>
      <w:r>
        <w:rPr>
          <w:rFonts w:hint="eastAsia" w:ascii="Times New Roman" w:hAnsi="Times New Roman" w:eastAsia="楷体_GB2312" w:cs="Times New Roman"/>
          <w:b/>
          <w:bCs/>
          <w:color w:val="auto"/>
          <w:sz w:val="32"/>
          <w:szCs w:val="32"/>
          <w:highlight w:val="none"/>
        </w:rPr>
        <w:t>第六条</w:t>
      </w:r>
      <w:r>
        <w:rPr>
          <w:rFonts w:hint="eastAsia"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lang w:bidi="ar"/>
        </w:rPr>
        <w:t>对已获得中央财政中小企业发展专项资金支持的专精特新“小巨人”企业不再重复支持，已纳入《工业和信息化部办公厅 财政部办公厅关于开展财政支持中小企业数字化转型试点工作的通知》（工信厅联企业〔2022〕22号）中改造试点的中小企业不再重复支持。</w:t>
      </w:r>
    </w:p>
    <w:p w14:paraId="5F8FB73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ascii="Times New Roman" w:hAnsi="Times New Roman" w:eastAsia="楷体_GB2312" w:cs="Times New Roman"/>
          <w:b/>
          <w:bCs/>
          <w:color w:val="auto"/>
          <w:sz w:val="32"/>
          <w:szCs w:val="32"/>
          <w:highlight w:val="none"/>
        </w:rPr>
        <w:t>第</w:t>
      </w:r>
      <w:r>
        <w:rPr>
          <w:rFonts w:hint="eastAsia" w:ascii="Times New Roman" w:hAnsi="Times New Roman" w:eastAsia="楷体_GB2312" w:cs="Times New Roman"/>
          <w:b/>
          <w:bCs/>
          <w:color w:val="auto"/>
          <w:sz w:val="32"/>
          <w:szCs w:val="32"/>
          <w:highlight w:val="none"/>
        </w:rPr>
        <w:t>七</w:t>
      </w:r>
      <w:r>
        <w:rPr>
          <w:rFonts w:ascii="Times New Roman" w:hAnsi="Times New Roman" w:eastAsia="楷体_GB2312" w:cs="Times New Roman"/>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中小企业须参与数字化转型改造，改造后数字化水平达到二级及以上。数字化水平的具体评定标准，以工业和信息化部发布的数字化水平评测指标为依据。</w:t>
      </w:r>
    </w:p>
    <w:p w14:paraId="615D9B2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lang w:bidi="ar"/>
        </w:rPr>
      </w:pPr>
      <w:r>
        <w:rPr>
          <w:rFonts w:ascii="Times New Roman" w:hAnsi="Times New Roman" w:eastAsia="楷体_GB2312" w:cs="Times New Roman"/>
          <w:b/>
          <w:bCs/>
          <w:color w:val="auto"/>
          <w:sz w:val="32"/>
          <w:szCs w:val="32"/>
          <w:highlight w:val="none"/>
        </w:rPr>
        <w:t>第</w:t>
      </w:r>
      <w:r>
        <w:rPr>
          <w:rFonts w:hint="eastAsia" w:ascii="Times New Roman" w:hAnsi="Times New Roman" w:eastAsia="楷体_GB2312" w:cs="Times New Roman"/>
          <w:b/>
          <w:bCs/>
          <w:color w:val="auto"/>
          <w:sz w:val="32"/>
          <w:szCs w:val="32"/>
          <w:highlight w:val="none"/>
        </w:rPr>
        <w:t>八</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lang w:bidi="ar"/>
        </w:rPr>
        <w:t>中小企业按照企业数字化改造支出总额的70%享受补助，每家企业本项补助金额不超过50万元，</w:t>
      </w:r>
      <w:r>
        <w:rPr>
          <w:rFonts w:hint="eastAsia" w:ascii="仿宋_GB2312" w:hAnsi="仿宋_GB2312" w:eastAsia="仿宋_GB2312" w:cs="仿宋_GB2312"/>
          <w:color w:val="auto"/>
          <w:sz w:val="32"/>
          <w:szCs w:val="32"/>
          <w:highlight w:val="none"/>
          <w:lang w:eastAsia="zh-CN" w:bidi="ar"/>
        </w:rPr>
        <w:t>可享受补助的</w:t>
      </w:r>
      <w:r>
        <w:rPr>
          <w:rFonts w:hint="eastAsia" w:ascii="仿宋_GB2312" w:hAnsi="仿宋_GB2312" w:eastAsia="仿宋_GB2312" w:cs="仿宋_GB2312"/>
          <w:color w:val="auto"/>
          <w:sz w:val="32"/>
          <w:szCs w:val="32"/>
          <w:highlight w:val="none"/>
          <w:lang w:bidi="ar"/>
        </w:rPr>
        <w:t>数字化改造支出总额以</w:t>
      </w:r>
      <w:r>
        <w:rPr>
          <w:rFonts w:hint="eastAsia" w:ascii="仿宋_GB2312" w:hAnsi="仿宋_GB2312" w:eastAsia="仿宋_GB2312" w:cs="仿宋_GB2312"/>
          <w:color w:val="auto"/>
          <w:sz w:val="32"/>
          <w:szCs w:val="32"/>
          <w:highlight w:val="none"/>
          <w:lang w:eastAsia="zh-CN" w:bidi="ar"/>
        </w:rPr>
        <w:t>第三方机构组织的</w:t>
      </w:r>
      <w:r>
        <w:rPr>
          <w:rFonts w:hint="eastAsia" w:ascii="仿宋_GB2312" w:hAnsi="仿宋_GB2312" w:eastAsia="仿宋_GB2312" w:cs="仿宋_GB2312"/>
          <w:color w:val="auto"/>
          <w:sz w:val="32"/>
          <w:szCs w:val="32"/>
          <w:highlight w:val="none"/>
          <w:lang w:bidi="ar"/>
        </w:rPr>
        <w:t>专家评审意见为准。</w:t>
      </w:r>
    </w:p>
    <w:p w14:paraId="0B9F138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楷体_GB2312" w:cs="Times New Roman"/>
          <w:b/>
          <w:bCs/>
          <w:color w:val="auto"/>
          <w:sz w:val="32"/>
          <w:szCs w:val="32"/>
          <w:highlight w:val="none"/>
        </w:rPr>
        <w:t>第</w:t>
      </w:r>
      <w:r>
        <w:rPr>
          <w:rFonts w:hint="eastAsia" w:ascii="Times New Roman" w:hAnsi="Times New Roman" w:eastAsia="楷体_GB2312" w:cs="Times New Roman"/>
          <w:b/>
          <w:bCs/>
          <w:color w:val="auto"/>
          <w:sz w:val="32"/>
          <w:szCs w:val="32"/>
          <w:highlight w:val="none"/>
        </w:rPr>
        <w:t>九</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数字化转型</w:t>
      </w:r>
      <w:r>
        <w:rPr>
          <w:rFonts w:hint="eastAsia" w:ascii="仿宋_GB2312" w:hAnsi="仿宋_GB2312" w:eastAsia="仿宋_GB2312" w:cs="仿宋_GB2312"/>
          <w:color w:val="auto"/>
          <w:sz w:val="32"/>
          <w:szCs w:val="32"/>
          <w:highlight w:val="none"/>
        </w:rPr>
        <w:t>项目申报。自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资金管理办法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eastAsia="zh-CN"/>
        </w:rPr>
        <w:t>之</w:t>
      </w:r>
      <w:r>
        <w:rPr>
          <w:rFonts w:hint="eastAsia" w:ascii="仿宋_GB2312" w:hAnsi="仿宋_GB2312" w:eastAsia="仿宋_GB2312" w:cs="仿宋_GB2312"/>
          <w:color w:val="auto"/>
          <w:sz w:val="32"/>
          <w:szCs w:val="32"/>
          <w:highlight w:val="none"/>
        </w:rPr>
        <w:t>日起，有意愿申报数字化改造补助资金的中小企业须在数字化改造实施前向市科工信局提交项目申报文件，市科工信局将按照“全年开放、随报随审”原则</w:t>
      </w:r>
      <w:r>
        <w:rPr>
          <w:rFonts w:hint="eastAsia" w:ascii="仿宋_GB2312" w:hAnsi="仿宋_GB2312" w:eastAsia="仿宋_GB2312" w:cs="仿宋_GB2312"/>
          <w:color w:val="auto"/>
          <w:sz w:val="32"/>
          <w:szCs w:val="32"/>
          <w:highlight w:val="none"/>
          <w:lang w:eastAsia="zh-CN"/>
        </w:rPr>
        <w:t>委托第三方机构</w:t>
      </w:r>
      <w:r>
        <w:rPr>
          <w:rFonts w:hint="eastAsia" w:ascii="仿宋_GB2312" w:hAnsi="仿宋_GB2312" w:eastAsia="仿宋_GB2312" w:cs="仿宋_GB2312"/>
          <w:color w:val="auto"/>
          <w:sz w:val="32"/>
          <w:szCs w:val="32"/>
          <w:highlight w:val="none"/>
        </w:rPr>
        <w:t>组织专家对项目申报文件进行审核。经审核通过、公示3天无异议后，正式启动数字化改造工作。对公示期内提出的异议，市科工信局将委托第三方</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进行调查核实</w:t>
      </w:r>
      <w:r>
        <w:rPr>
          <w:rFonts w:hint="eastAsia" w:ascii="仿宋_GB2312" w:hAnsi="仿宋_GB2312" w:eastAsia="仿宋_GB2312" w:cs="仿宋_GB2312"/>
          <w:color w:val="auto"/>
          <w:sz w:val="32"/>
          <w:szCs w:val="32"/>
          <w:highlight w:val="none"/>
          <w:lang w:eastAsia="zh-CN"/>
        </w:rPr>
        <w:t>，核实结果报</w:t>
      </w:r>
      <w:r>
        <w:rPr>
          <w:rFonts w:hint="eastAsia" w:ascii="仿宋_GB2312" w:hAnsi="仿宋_GB2312" w:eastAsia="仿宋_GB2312" w:cs="仿宋_GB2312"/>
          <w:color w:val="auto"/>
          <w:sz w:val="32"/>
          <w:szCs w:val="32"/>
          <w:highlight w:val="none"/>
        </w:rPr>
        <w:t>市科工信局</w:t>
      </w:r>
      <w:r>
        <w:rPr>
          <w:rFonts w:hint="eastAsia" w:ascii="Times New Roman" w:hAnsi="Times New Roman" w:eastAsia="仿宋_GB2312" w:cs="Times New Roman"/>
          <w:color w:val="auto"/>
          <w:sz w:val="32"/>
          <w:szCs w:val="32"/>
          <w:highlight w:val="none"/>
        </w:rPr>
        <w:t>党组会议</w:t>
      </w:r>
      <w:r>
        <w:rPr>
          <w:rFonts w:hint="eastAsia" w:ascii="Times New Roman" w:hAnsi="Times New Roman" w:eastAsia="仿宋_GB2312" w:cs="Times New Roman"/>
          <w:color w:val="auto"/>
          <w:sz w:val="32"/>
          <w:szCs w:val="32"/>
          <w:highlight w:val="none"/>
          <w:lang w:eastAsia="zh-CN"/>
        </w:rPr>
        <w:t>审议</w:t>
      </w:r>
      <w:r>
        <w:rPr>
          <w:rFonts w:hint="eastAsia" w:ascii="仿宋_GB2312" w:hAnsi="仿宋_GB2312" w:eastAsia="仿宋_GB2312" w:cs="仿宋_GB2312"/>
          <w:color w:val="auto"/>
          <w:sz w:val="32"/>
          <w:szCs w:val="32"/>
          <w:highlight w:val="none"/>
        </w:rPr>
        <w:t>。</w:t>
      </w:r>
    </w:p>
    <w:p w14:paraId="5E77BAC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楷体_GB2312" w:cs="Times New Roman"/>
          <w:b/>
          <w:bCs/>
          <w:color w:val="auto"/>
          <w:sz w:val="32"/>
          <w:szCs w:val="32"/>
          <w:highlight w:val="none"/>
        </w:rPr>
        <w:t>第十条</w:t>
      </w:r>
      <w:r>
        <w:rPr>
          <w:rFonts w:hint="eastAsia"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rPr>
        <w:t>项目申报所需材料：</w:t>
      </w:r>
    </w:p>
    <w:p w14:paraId="789AC1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1.中小企业营业执照副本复印件；</w:t>
      </w:r>
    </w:p>
    <w:p w14:paraId="73314B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2.中小企业数字化转型诊断报告（见附件1）；</w:t>
      </w:r>
    </w:p>
    <w:p w14:paraId="1867E7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3.中小企业与集成服务商拟定的合同草案；</w:t>
      </w:r>
    </w:p>
    <w:p w14:paraId="0A2414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4.中小企业数字化改造工作方案（见附件2）</w:t>
      </w:r>
      <w:r>
        <w:rPr>
          <w:rFonts w:hint="eastAsia" w:ascii="仿宋_GB2312" w:hAnsi="仿宋_GB2312" w:eastAsia="仿宋_GB2312" w:cs="仿宋_GB2312"/>
          <w:color w:val="auto"/>
          <w:sz w:val="32"/>
          <w:szCs w:val="32"/>
          <w:highlight w:val="none"/>
          <w:lang w:eastAsia="zh-CN"/>
        </w:rPr>
        <w:t>；</w:t>
      </w:r>
    </w:p>
    <w:p w14:paraId="43B651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以上所有</w:t>
      </w:r>
      <w:r>
        <w:rPr>
          <w:rFonts w:hint="eastAsia" w:ascii="仿宋_GB2312" w:hAnsi="仿宋_GB2312" w:eastAsia="仿宋_GB2312" w:cs="仿宋_GB2312"/>
          <w:color w:val="auto"/>
          <w:sz w:val="32"/>
          <w:szCs w:val="32"/>
          <w:highlight w:val="none"/>
        </w:rPr>
        <w:t>项目申报</w:t>
      </w:r>
      <w:r>
        <w:rPr>
          <w:rFonts w:hint="eastAsia" w:ascii="仿宋_GB2312" w:hAnsi="仿宋_GB2312" w:eastAsia="仿宋_GB2312" w:cs="仿宋_GB2312"/>
          <w:color w:val="auto"/>
          <w:sz w:val="32"/>
          <w:szCs w:val="32"/>
          <w:highlight w:val="none"/>
          <w:lang w:val="en-US" w:eastAsia="zh-CN"/>
        </w:rPr>
        <w:t>材料均须加盖公章</w:t>
      </w:r>
      <w:r>
        <w:rPr>
          <w:rFonts w:hint="eastAsia" w:ascii="仿宋_GB2312" w:hAnsi="仿宋_GB2312" w:eastAsia="仿宋_GB2312" w:cs="仿宋_GB2312"/>
          <w:color w:val="auto"/>
          <w:sz w:val="32"/>
          <w:szCs w:val="32"/>
          <w:highlight w:val="none"/>
        </w:rPr>
        <w:t>。</w:t>
      </w:r>
    </w:p>
    <w:p w14:paraId="2504D4B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eastAsia="zh-CN"/>
        </w:rPr>
        <w:t>第十一条</w:t>
      </w:r>
      <w:r>
        <w:rPr>
          <w:rFonts w:hint="eastAsia" w:ascii="Times New Roman" w:hAnsi="Times New Roman" w:eastAsia="楷体_GB2312" w:cs="Times New Roman"/>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申报补助。中小企业改造完成后，须向市科工信局提交申报补助材料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市科工信局将按照“全年开放、随报随收、季度审核”原则</w:t>
      </w:r>
      <w:r>
        <w:rPr>
          <w:rFonts w:hint="eastAsia" w:ascii="仿宋_GB2312" w:hAnsi="仿宋_GB2312" w:eastAsia="仿宋_GB2312" w:cs="仿宋_GB2312"/>
          <w:color w:val="auto"/>
          <w:sz w:val="32"/>
          <w:szCs w:val="32"/>
          <w:highlight w:val="none"/>
          <w:lang w:eastAsia="zh-CN"/>
        </w:rPr>
        <w:t>委托第三方机构</w:t>
      </w:r>
      <w:r>
        <w:rPr>
          <w:rFonts w:hint="eastAsia" w:ascii="Times New Roman" w:hAnsi="Times New Roman" w:eastAsia="仿宋_GB2312" w:cs="Times New Roman"/>
          <w:color w:val="auto"/>
          <w:sz w:val="32"/>
          <w:szCs w:val="32"/>
          <w:highlight w:val="none"/>
          <w:lang w:val="en-US" w:eastAsia="zh-CN"/>
        </w:rPr>
        <w:t>组织专家对申报补助材料评审。</w:t>
      </w:r>
      <w:r>
        <w:rPr>
          <w:rFonts w:hint="eastAsia" w:ascii="Times New Roman" w:hAnsi="Times New Roman" w:eastAsia="仿宋_GB2312" w:cs="Times New Roman"/>
          <w:color w:val="auto"/>
          <w:sz w:val="32"/>
          <w:szCs w:val="32"/>
          <w:highlight w:val="none"/>
        </w:rPr>
        <w:t>申报所需材料</w:t>
      </w:r>
      <w:r>
        <w:rPr>
          <w:rFonts w:hint="eastAsia" w:ascii="Times New Roman" w:hAnsi="Times New Roman" w:eastAsia="仿宋_GB2312" w:cs="Times New Roman"/>
          <w:color w:val="auto"/>
          <w:sz w:val="32"/>
          <w:szCs w:val="32"/>
          <w:highlight w:val="none"/>
          <w:lang w:val="en-US" w:eastAsia="zh-CN"/>
        </w:rPr>
        <w:t>如下：</w:t>
      </w:r>
    </w:p>
    <w:p w14:paraId="4E7ECC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1.中小企业信用信息报告（通过信用中国https://www.creditchina.gov.cn/下载报告）；</w:t>
      </w:r>
    </w:p>
    <w:p w14:paraId="5BA980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2.中小企业上年末营业收入</w:t>
      </w:r>
      <w:r>
        <w:rPr>
          <w:rFonts w:hint="eastAsia" w:ascii="仿宋_GB2312" w:hAnsi="仿宋_GB2312" w:eastAsia="仿宋_GB2312" w:cs="仿宋_GB2312"/>
          <w:color w:val="auto"/>
          <w:sz w:val="32"/>
          <w:szCs w:val="32"/>
          <w:highlight w:val="none"/>
          <w:lang w:eastAsia="zh-CN"/>
        </w:rPr>
        <w:t>证明（如</w:t>
      </w:r>
      <w:r>
        <w:rPr>
          <w:rFonts w:hint="eastAsia" w:ascii="仿宋_GB2312" w:hAnsi="仿宋_GB2312" w:eastAsia="仿宋_GB2312" w:cs="仿宋_GB2312"/>
          <w:color w:val="auto"/>
          <w:sz w:val="32"/>
          <w:szCs w:val="32"/>
          <w:highlight w:val="none"/>
          <w:lang w:val="en-US" w:eastAsia="zh-CN"/>
        </w:rPr>
        <w:t>年度审计报告或公司财务报表）</w:t>
      </w:r>
      <w:r>
        <w:rPr>
          <w:rFonts w:hint="eastAsia" w:ascii="仿宋_GB2312" w:hAnsi="仿宋_GB2312" w:eastAsia="仿宋_GB2312" w:cs="仿宋_GB2312"/>
          <w:color w:val="auto"/>
          <w:sz w:val="32"/>
          <w:szCs w:val="32"/>
          <w:highlight w:val="none"/>
        </w:rPr>
        <w:t>与上年末从业人员</w:t>
      </w:r>
      <w:r>
        <w:rPr>
          <w:rFonts w:hint="eastAsia" w:ascii="仿宋_GB2312" w:hAnsi="仿宋_GB2312" w:eastAsia="仿宋_GB2312" w:cs="仿宋_GB2312"/>
          <w:bCs/>
          <w:color w:val="auto"/>
          <w:spacing w:val="-4"/>
          <w:sz w:val="32"/>
          <w:szCs w:val="32"/>
          <w:highlight w:val="none"/>
          <w:lang w:bidi="ar"/>
        </w:rPr>
        <w:t>劳动社保</w:t>
      </w:r>
      <w:r>
        <w:rPr>
          <w:rFonts w:hint="eastAsia" w:ascii="仿宋_GB2312" w:hAnsi="仿宋_GB2312" w:eastAsia="仿宋_GB2312" w:cs="仿宋_GB2312"/>
          <w:color w:val="auto"/>
          <w:sz w:val="32"/>
          <w:szCs w:val="32"/>
          <w:highlight w:val="none"/>
        </w:rPr>
        <w:t>证明；</w:t>
      </w:r>
    </w:p>
    <w:p w14:paraId="5AD363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3.无欠税证明</w:t>
      </w:r>
      <w:r>
        <w:rPr>
          <w:rFonts w:hint="eastAsia" w:ascii="仿宋_GB2312" w:hAnsi="仿宋_GB2312" w:eastAsia="仿宋_GB2312" w:cs="仿宋_GB2312"/>
          <w:color w:val="auto"/>
          <w:sz w:val="32"/>
          <w:szCs w:val="32"/>
          <w:highlight w:val="none"/>
          <w:lang w:eastAsia="zh-CN"/>
        </w:rPr>
        <w:t>（开具时间在提交申报补助材料之日起</w:t>
      </w:r>
      <w:r>
        <w:rPr>
          <w:rFonts w:hint="eastAsia" w:ascii="仿宋_GB2312" w:hAnsi="仿宋_GB2312" w:eastAsia="仿宋_GB2312" w:cs="仿宋_GB2312"/>
          <w:color w:val="auto"/>
          <w:sz w:val="32"/>
          <w:szCs w:val="32"/>
          <w:highlight w:val="none"/>
          <w:lang w:val="en-US" w:eastAsia="zh-CN"/>
        </w:rPr>
        <w:t>30天内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5FE8D3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4.中小企业与集成服务商签订的数字化改造合同复印件；</w:t>
      </w:r>
    </w:p>
    <w:p w14:paraId="5983A2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5.数字化水平评测结果截图（通过优质中小企业梯度培育平台</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"https://zjtx.miit.gov.cn" </w:instrText>
      </w:r>
      <w:r>
        <w:rPr>
          <w:rFonts w:hint="eastAsia" w:ascii="仿宋_GB2312" w:hAnsi="仿宋_GB2312" w:eastAsia="仿宋_GB2312" w:cs="仿宋_GB2312"/>
          <w:color w:val="auto"/>
          <w:highlight w:val="none"/>
        </w:rPr>
        <w:fldChar w:fldCharType="separate"/>
      </w:r>
      <w:r>
        <w:rPr>
          <w:rStyle w:val="13"/>
          <w:rFonts w:hint="eastAsia" w:ascii="仿宋_GB2312" w:hAnsi="仿宋_GB2312" w:eastAsia="仿宋_GB2312" w:cs="仿宋_GB2312"/>
          <w:color w:val="auto"/>
          <w:sz w:val="32"/>
          <w:szCs w:val="32"/>
          <w:highlight w:val="none"/>
        </w:rPr>
        <w:t>https://zjtx.miit.gov.cn</w:t>
      </w:r>
      <w:r>
        <w:rPr>
          <w:rStyle w:val="13"/>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对中小企业数字化水平评测结果进行截图）；</w:t>
      </w:r>
    </w:p>
    <w:p w14:paraId="0F470D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Times New Roman" w:hAnsi="Times New Roman" w:eastAsia="仿宋_GB2312" w:cs="Times New Roman"/>
          <w:color w:val="auto"/>
          <w:sz w:val="32"/>
          <w:szCs w:val="32"/>
          <w:highlight w:val="none"/>
        </w:rPr>
        <w:t>海口市中小企业数字化</w:t>
      </w:r>
      <w:r>
        <w:rPr>
          <w:rFonts w:hint="eastAsia" w:ascii="Times New Roman" w:hAnsi="Times New Roman" w:eastAsia="仿宋_GB2312" w:cs="Times New Roman"/>
          <w:color w:val="auto"/>
          <w:sz w:val="32"/>
          <w:szCs w:val="32"/>
          <w:highlight w:val="none"/>
          <w:lang w:eastAsia="zh-CN"/>
        </w:rPr>
        <w:t>转型城市试点项目</w:t>
      </w:r>
      <w:r>
        <w:rPr>
          <w:rFonts w:hint="eastAsia" w:ascii="Times New Roman" w:hAnsi="Times New Roman" w:eastAsia="仿宋_GB2312" w:cs="Times New Roman"/>
          <w:color w:val="auto"/>
          <w:sz w:val="32"/>
          <w:szCs w:val="32"/>
          <w:highlight w:val="none"/>
        </w:rPr>
        <w:t>评审申请材料</w:t>
      </w:r>
      <w:r>
        <w:rPr>
          <w:rFonts w:hint="eastAsia" w:ascii="仿宋_GB2312" w:hAnsi="仿宋_GB2312" w:eastAsia="仿宋_GB2312" w:cs="仿宋_GB2312"/>
          <w:color w:val="auto"/>
          <w:sz w:val="32"/>
          <w:szCs w:val="32"/>
          <w:highlight w:val="none"/>
        </w:rPr>
        <w:t>（见附件3）；</w:t>
      </w:r>
    </w:p>
    <w:p w14:paraId="392956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7.中小企业数字化转型城市试点专项补助资金申请承诺书（见附件4）</w:t>
      </w:r>
      <w:r>
        <w:rPr>
          <w:rFonts w:hint="eastAsia" w:ascii="仿宋_GB2312" w:hAnsi="仿宋_GB2312" w:eastAsia="仿宋_GB2312" w:cs="仿宋_GB2312"/>
          <w:color w:val="auto"/>
          <w:sz w:val="32"/>
          <w:szCs w:val="32"/>
          <w:highlight w:val="none"/>
          <w:lang w:eastAsia="zh-CN"/>
        </w:rPr>
        <w:t>；</w:t>
      </w:r>
    </w:p>
    <w:p w14:paraId="0210FE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8.数字化改造情况及成效（见附件5）；</w:t>
      </w:r>
    </w:p>
    <w:p w14:paraId="7D237E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9.中小企业与集成服务商签订的数字化改造合同的发票及付款凭证</w:t>
      </w:r>
      <w:r>
        <w:rPr>
          <w:rFonts w:hint="eastAsia" w:ascii="仿宋_GB2312" w:hAnsi="仿宋_GB2312" w:eastAsia="仿宋_GB2312" w:cs="仿宋_GB2312"/>
          <w:color w:val="auto"/>
          <w:sz w:val="32"/>
          <w:szCs w:val="32"/>
          <w:highlight w:val="none"/>
          <w:lang w:eastAsia="zh-CN"/>
        </w:rPr>
        <w:t>（如申报补助时无法提供，须在</w:t>
      </w:r>
      <w:r>
        <w:rPr>
          <w:rFonts w:hint="eastAsia" w:ascii="仿宋_GB2312" w:hAnsi="仿宋_GB2312" w:eastAsia="仿宋_GB2312" w:cs="仿宋_GB2312"/>
          <w:color w:val="auto"/>
          <w:sz w:val="32"/>
          <w:szCs w:val="32"/>
          <w:highlight w:val="none"/>
        </w:rPr>
        <w:t>收到本专项补助资金之日起</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0个工作日内</w:t>
      </w:r>
      <w:r>
        <w:rPr>
          <w:rFonts w:hint="eastAsia" w:ascii="仿宋_GB2312" w:hAnsi="仿宋_GB2312" w:eastAsia="仿宋_GB2312" w:cs="仿宋_GB2312"/>
          <w:color w:val="auto"/>
          <w:sz w:val="32"/>
          <w:szCs w:val="32"/>
          <w:highlight w:val="none"/>
          <w:lang w:eastAsia="zh-CN"/>
        </w:rPr>
        <w:t>提交至市科工信局）</w:t>
      </w:r>
      <w:r>
        <w:rPr>
          <w:rFonts w:hint="eastAsia" w:ascii="仿宋_GB2312" w:hAnsi="仿宋_GB2312" w:eastAsia="仿宋_GB2312" w:cs="仿宋_GB2312"/>
          <w:color w:val="auto"/>
          <w:sz w:val="32"/>
          <w:szCs w:val="32"/>
          <w:highlight w:val="none"/>
        </w:rPr>
        <w:t>；</w:t>
      </w:r>
    </w:p>
    <w:p w14:paraId="37EDD9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.中小企业与集成服务商签订的数字化改造合同的验收材料</w:t>
      </w:r>
      <w:r>
        <w:rPr>
          <w:rFonts w:hint="eastAsia" w:ascii="仿宋_GB2312" w:hAnsi="仿宋_GB2312" w:eastAsia="仿宋_GB2312" w:cs="仿宋_GB2312"/>
          <w:color w:val="auto"/>
          <w:sz w:val="32"/>
          <w:szCs w:val="32"/>
          <w:highlight w:val="none"/>
          <w:lang w:eastAsia="zh-CN"/>
        </w:rPr>
        <w:t>；</w:t>
      </w:r>
    </w:p>
    <w:p w14:paraId="0E21BF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以上所有申报补助材料均须加盖公章</w:t>
      </w:r>
      <w:r>
        <w:rPr>
          <w:rFonts w:hint="eastAsia" w:ascii="仿宋_GB2312" w:hAnsi="仿宋_GB2312" w:eastAsia="仿宋_GB2312" w:cs="仿宋_GB2312"/>
          <w:color w:val="auto"/>
          <w:sz w:val="32"/>
          <w:szCs w:val="32"/>
          <w:highlight w:val="none"/>
        </w:rPr>
        <w:t>。</w:t>
      </w:r>
    </w:p>
    <w:p w14:paraId="6B80208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ascii="Times New Roman" w:hAnsi="Times New Roman" w:eastAsia="楷体_GB2312" w:cs="Times New Roman"/>
          <w:b/>
          <w:bCs/>
          <w:color w:val="auto"/>
          <w:sz w:val="32"/>
          <w:szCs w:val="32"/>
          <w:highlight w:val="none"/>
        </w:rPr>
        <w:t>第</w:t>
      </w:r>
      <w:r>
        <w:rPr>
          <w:rFonts w:hint="eastAsia" w:ascii="Times New Roman" w:hAnsi="Times New Roman" w:eastAsia="楷体_GB2312" w:cs="Times New Roman"/>
          <w:b/>
          <w:bCs/>
          <w:color w:val="auto"/>
          <w:sz w:val="32"/>
          <w:szCs w:val="32"/>
          <w:highlight w:val="none"/>
        </w:rPr>
        <w:t>十</w:t>
      </w:r>
      <w:r>
        <w:rPr>
          <w:rFonts w:hint="eastAsia" w:ascii="Times New Roman" w:hAnsi="Times New Roman" w:eastAsia="楷体_GB2312" w:cs="Times New Roman"/>
          <w:b/>
          <w:bCs/>
          <w:color w:val="auto"/>
          <w:sz w:val="32"/>
          <w:szCs w:val="32"/>
          <w:highlight w:val="none"/>
          <w:lang w:eastAsia="zh-CN"/>
        </w:rPr>
        <w:t>二</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中小企业违法违规情况核查。</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委</w:t>
      </w:r>
      <w:r>
        <w:rPr>
          <w:rFonts w:hint="eastAsia" w:ascii="仿宋_GB2312" w:hAnsi="仿宋_GB2312" w:eastAsia="仿宋_GB2312" w:cs="仿宋_GB2312"/>
          <w:color w:val="auto"/>
          <w:sz w:val="32"/>
          <w:szCs w:val="32"/>
          <w:highlight w:val="none"/>
          <w:lang w:eastAsia="zh-CN"/>
        </w:rPr>
        <w:t>网信办、市公安局网警支队、市</w:t>
      </w:r>
      <w:r>
        <w:rPr>
          <w:rFonts w:hint="eastAsia" w:ascii="仿宋_GB2312" w:hAnsi="仿宋_GB2312" w:eastAsia="仿宋_GB2312" w:cs="仿宋_GB2312"/>
          <w:color w:val="auto"/>
          <w:sz w:val="32"/>
          <w:szCs w:val="32"/>
          <w:highlight w:val="none"/>
        </w:rPr>
        <w:t>应急管理局、市生态环境局、市市场监督管理局、</w:t>
      </w:r>
      <w:r>
        <w:rPr>
          <w:rFonts w:hint="eastAsia" w:ascii="仿宋_GB2312" w:hAnsi="仿宋_GB2312" w:eastAsia="仿宋_GB2312" w:cs="仿宋_GB2312"/>
          <w:color w:val="auto"/>
          <w:sz w:val="32"/>
          <w:szCs w:val="32"/>
          <w:highlight w:val="none"/>
          <w:lang w:eastAsia="zh-CN"/>
        </w:rPr>
        <w:t>市营商环境局根据市科工信局提供的名单，核查中小企业是否存在本细则第五条提及的违</w:t>
      </w:r>
      <w:bookmarkStart w:id="72" w:name="_GoBack"/>
      <w:bookmarkEnd w:id="72"/>
      <w:r>
        <w:rPr>
          <w:rFonts w:hint="eastAsia" w:ascii="仿宋_GB2312" w:hAnsi="仿宋_GB2312" w:eastAsia="仿宋_GB2312" w:cs="仿宋_GB2312"/>
          <w:color w:val="auto"/>
          <w:sz w:val="32"/>
          <w:szCs w:val="32"/>
          <w:highlight w:val="none"/>
          <w:lang w:eastAsia="zh-CN"/>
        </w:rPr>
        <w:t>法违规行为，核查周期为市科工信局收到企业申报补助材料之日为截止点的近三年。对于存在此类违法违规行为的，本专项补助资金</w:t>
      </w:r>
      <w:r>
        <w:rPr>
          <w:rFonts w:hint="eastAsia" w:ascii="仿宋_GB2312" w:hAnsi="仿宋_GB2312" w:eastAsia="仿宋_GB2312" w:cs="仿宋_GB2312"/>
          <w:color w:val="auto"/>
          <w:sz w:val="32"/>
          <w:szCs w:val="32"/>
          <w:highlight w:val="none"/>
        </w:rPr>
        <w:t>将不予以</w:t>
      </w:r>
      <w:r>
        <w:rPr>
          <w:rFonts w:hint="eastAsia" w:ascii="仿宋_GB2312" w:hAnsi="仿宋_GB2312" w:eastAsia="仿宋_GB2312" w:cs="仿宋_GB2312"/>
          <w:color w:val="auto"/>
          <w:sz w:val="32"/>
          <w:szCs w:val="32"/>
          <w:highlight w:val="none"/>
          <w:lang w:eastAsia="zh-CN"/>
        </w:rPr>
        <w:t>补贴。若以上单位职能发生变化，转由相应职能接收单位处理。</w:t>
      </w:r>
    </w:p>
    <w:p w14:paraId="7CD59A6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ascii="Times New Roman" w:hAnsi="Times New Roman" w:eastAsia="楷体_GB2312" w:cs="Times New Roman"/>
          <w:b/>
          <w:bCs/>
          <w:color w:val="auto"/>
          <w:sz w:val="32"/>
          <w:szCs w:val="32"/>
          <w:highlight w:val="none"/>
        </w:rPr>
        <w:t>第十</w:t>
      </w:r>
      <w:r>
        <w:rPr>
          <w:rFonts w:hint="eastAsia" w:ascii="Times New Roman" w:hAnsi="Times New Roman" w:eastAsia="楷体_GB2312" w:cs="Times New Roman"/>
          <w:b/>
          <w:bCs/>
          <w:color w:val="auto"/>
          <w:sz w:val="32"/>
          <w:szCs w:val="32"/>
          <w:highlight w:val="none"/>
          <w:lang w:eastAsia="zh-CN"/>
        </w:rPr>
        <w:t>三</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申报补助</w:t>
      </w:r>
      <w:r>
        <w:rPr>
          <w:rFonts w:hint="eastAsia" w:ascii="Times New Roman" w:hAnsi="Times New Roman" w:eastAsia="仿宋_GB2312" w:cs="Times New Roman"/>
          <w:color w:val="auto"/>
          <w:sz w:val="32"/>
          <w:szCs w:val="32"/>
          <w:highlight w:val="none"/>
          <w:lang w:val="en-US" w:eastAsia="zh-CN"/>
        </w:rPr>
        <w:t>评审。</w:t>
      </w:r>
      <w:r>
        <w:rPr>
          <w:rFonts w:hint="eastAsia" w:ascii="仿宋_GB2312" w:hAnsi="仿宋_GB2312" w:eastAsia="仿宋_GB2312" w:cs="仿宋_GB2312"/>
          <w:color w:val="auto"/>
          <w:sz w:val="32"/>
          <w:szCs w:val="32"/>
          <w:highlight w:val="none"/>
        </w:rPr>
        <w:t>市科工信局</w:t>
      </w:r>
      <w:r>
        <w:rPr>
          <w:rFonts w:hint="eastAsia" w:ascii="仿宋_GB2312" w:hAnsi="仿宋_GB2312" w:eastAsia="仿宋_GB2312" w:cs="仿宋_GB2312"/>
          <w:color w:val="auto"/>
          <w:sz w:val="32"/>
          <w:szCs w:val="32"/>
          <w:highlight w:val="none"/>
          <w:lang w:eastAsia="zh-CN"/>
        </w:rPr>
        <w:t>委托第三方机构</w:t>
      </w:r>
      <w:r>
        <w:rPr>
          <w:rFonts w:hint="eastAsia" w:ascii="仿宋_GB2312" w:hAnsi="仿宋_GB2312" w:eastAsia="仿宋_GB2312" w:cs="仿宋_GB2312"/>
          <w:color w:val="auto"/>
          <w:sz w:val="32"/>
          <w:szCs w:val="32"/>
          <w:highlight w:val="none"/>
        </w:rPr>
        <w:t>组织专家对申报补助材料</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评审，并且对中小企业的实际数字化改造情况进行实地抽查。经专家评审通过后，对完成改造</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名单</w:t>
      </w:r>
      <w:r>
        <w:rPr>
          <w:rFonts w:hint="eastAsia" w:ascii="仿宋_GB2312" w:hAnsi="仿宋_GB2312" w:eastAsia="仿宋_GB2312" w:cs="仿宋_GB2312"/>
          <w:color w:val="auto"/>
          <w:sz w:val="32"/>
          <w:szCs w:val="32"/>
          <w:highlight w:val="none"/>
        </w:rPr>
        <w:t>进行公示3天。公示期内提出的异议，市科工信局将委托第三方</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进行调查核实</w:t>
      </w:r>
      <w:r>
        <w:rPr>
          <w:rFonts w:hint="eastAsia" w:ascii="仿宋_GB2312" w:hAnsi="仿宋_GB2312" w:eastAsia="仿宋_GB2312" w:cs="仿宋_GB2312"/>
          <w:color w:val="auto"/>
          <w:sz w:val="32"/>
          <w:szCs w:val="32"/>
          <w:highlight w:val="none"/>
          <w:lang w:eastAsia="zh-CN"/>
        </w:rPr>
        <w:t>，核实结果报</w:t>
      </w:r>
      <w:r>
        <w:rPr>
          <w:rFonts w:hint="eastAsia" w:ascii="仿宋_GB2312" w:hAnsi="仿宋_GB2312" w:eastAsia="仿宋_GB2312" w:cs="仿宋_GB2312"/>
          <w:color w:val="auto"/>
          <w:sz w:val="32"/>
          <w:szCs w:val="32"/>
          <w:highlight w:val="none"/>
        </w:rPr>
        <w:t>市科工信局</w:t>
      </w:r>
      <w:r>
        <w:rPr>
          <w:rFonts w:hint="eastAsia" w:ascii="Times New Roman" w:hAnsi="Times New Roman" w:eastAsia="仿宋_GB2312" w:cs="Times New Roman"/>
          <w:color w:val="auto"/>
          <w:sz w:val="32"/>
          <w:szCs w:val="32"/>
          <w:highlight w:val="none"/>
        </w:rPr>
        <w:t>党组会议</w:t>
      </w:r>
      <w:r>
        <w:rPr>
          <w:rFonts w:hint="eastAsia" w:ascii="Times New Roman" w:hAnsi="Times New Roman" w:eastAsia="仿宋_GB2312" w:cs="Times New Roman"/>
          <w:color w:val="auto"/>
          <w:sz w:val="32"/>
          <w:szCs w:val="32"/>
          <w:highlight w:val="none"/>
          <w:lang w:eastAsia="zh-CN"/>
        </w:rPr>
        <w:t>审议</w:t>
      </w:r>
      <w:r>
        <w:rPr>
          <w:rFonts w:hint="eastAsia" w:ascii="仿宋_GB2312" w:hAnsi="仿宋_GB2312" w:eastAsia="仿宋_GB2312" w:cs="仿宋_GB2312"/>
          <w:color w:val="auto"/>
          <w:sz w:val="32"/>
          <w:szCs w:val="32"/>
          <w:highlight w:val="none"/>
        </w:rPr>
        <w:t>。</w:t>
      </w:r>
    </w:p>
    <w:p w14:paraId="1995559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楷体_GB2312" w:cs="Times New Roman"/>
          <w:b/>
          <w:bCs/>
          <w:color w:val="auto"/>
          <w:sz w:val="32"/>
          <w:szCs w:val="32"/>
          <w:highlight w:val="none"/>
        </w:rPr>
      </w:pPr>
      <w:r>
        <w:rPr>
          <w:rFonts w:hint="eastAsia" w:ascii="Times New Roman" w:hAnsi="Times New Roman" w:eastAsia="楷体_GB2312" w:cs="Times New Roman"/>
          <w:b/>
          <w:bCs/>
          <w:color w:val="auto"/>
          <w:sz w:val="32"/>
          <w:szCs w:val="32"/>
          <w:highlight w:val="none"/>
        </w:rPr>
        <w:t>第十</w:t>
      </w:r>
      <w:r>
        <w:rPr>
          <w:rFonts w:hint="eastAsia" w:ascii="Times New Roman" w:hAnsi="Times New Roman" w:eastAsia="楷体_GB2312" w:cs="Times New Roman"/>
          <w:b/>
          <w:bCs/>
          <w:color w:val="auto"/>
          <w:sz w:val="32"/>
          <w:szCs w:val="32"/>
          <w:highlight w:val="none"/>
          <w:lang w:val="en-US" w:eastAsia="zh-CN"/>
        </w:rPr>
        <w:t>四</w:t>
      </w:r>
      <w:r>
        <w:rPr>
          <w:rFonts w:hint="eastAsia" w:ascii="Times New Roman" w:hAnsi="Times New Roman" w:eastAsia="楷体_GB2312" w:cs="Times New Roman"/>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申报</w:t>
      </w:r>
      <w:r>
        <w:rPr>
          <w:rFonts w:hint="eastAsia" w:ascii="仿宋_GB2312" w:hAnsi="仿宋_GB2312" w:eastAsia="仿宋_GB2312" w:cs="仿宋_GB2312"/>
          <w:color w:val="auto"/>
          <w:sz w:val="32"/>
          <w:szCs w:val="32"/>
          <w:highlight w:val="none"/>
          <w:lang w:val="en-US" w:eastAsia="zh-CN"/>
        </w:rPr>
        <w:t>材料要求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第十条、第十一条</w:t>
      </w:r>
      <w:r>
        <w:rPr>
          <w:rFonts w:hint="eastAsia" w:ascii="仿宋_GB2312" w:hAnsi="仿宋_GB2312" w:eastAsia="仿宋_GB2312" w:cs="仿宋_GB2312"/>
          <w:color w:val="auto"/>
          <w:sz w:val="32"/>
          <w:szCs w:val="32"/>
          <w:highlight w:val="none"/>
        </w:rPr>
        <w:t>所需材料均用A4纸打印，编制目录，左侧胶装成册，一式两份并加盖公章。请将完整材料递送至海口市秀英区长滨东二街市政府行政办公区18栋北四楼市科工信局4021室。</w:t>
      </w:r>
    </w:p>
    <w:p w14:paraId="0AD8759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楷体_GB2312" w:cs="Times New Roman"/>
          <w:b/>
          <w:bCs/>
          <w:color w:val="auto"/>
          <w:sz w:val="32"/>
          <w:szCs w:val="32"/>
          <w:highlight w:val="none"/>
        </w:rPr>
        <w:t>第十</w:t>
      </w:r>
      <w:r>
        <w:rPr>
          <w:rFonts w:hint="eastAsia" w:ascii="Times New Roman" w:hAnsi="Times New Roman" w:eastAsia="楷体_GB2312" w:cs="Times New Roman"/>
          <w:b/>
          <w:bCs/>
          <w:color w:val="auto"/>
          <w:sz w:val="32"/>
          <w:szCs w:val="32"/>
          <w:highlight w:val="none"/>
          <w:lang w:val="en-US" w:eastAsia="zh-CN"/>
        </w:rPr>
        <w:t>五</w:t>
      </w:r>
      <w:r>
        <w:rPr>
          <w:rFonts w:hint="eastAsia" w:ascii="Times New Roman" w:hAnsi="Times New Roman" w:eastAsia="楷体_GB2312" w:cs="Times New Roman"/>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资金拨付。</w:t>
      </w:r>
      <w:r>
        <w:rPr>
          <w:rFonts w:hint="eastAsia" w:ascii="仿宋_GB2312" w:hAnsi="仿宋_GB2312" w:eastAsia="仿宋_GB2312" w:cs="仿宋_GB2312"/>
          <w:color w:val="auto"/>
          <w:sz w:val="32"/>
          <w:szCs w:val="32"/>
          <w:highlight w:val="none"/>
          <w:lang w:val="en-US" w:eastAsia="zh-CN"/>
        </w:rPr>
        <w:t>经评审通过，</w:t>
      </w:r>
      <w:r>
        <w:rPr>
          <w:rFonts w:hint="eastAsia" w:ascii="仿宋_GB2312" w:hAnsi="仿宋_GB2312" w:eastAsia="仿宋_GB2312" w:cs="仿宋_GB2312"/>
          <w:color w:val="auto"/>
          <w:sz w:val="32"/>
          <w:szCs w:val="32"/>
          <w:highlight w:val="none"/>
        </w:rPr>
        <w:t>改造企业名单公示3天无异议，市科工信局</w:t>
      </w:r>
      <w:r>
        <w:rPr>
          <w:rFonts w:hint="eastAsia" w:ascii="Times New Roman" w:hAnsi="Times New Roman" w:eastAsia="仿宋_GB2312" w:cs="Times New Roman"/>
          <w:color w:val="auto"/>
          <w:sz w:val="32"/>
          <w:szCs w:val="32"/>
          <w:highlight w:val="none"/>
        </w:rPr>
        <w:t>党组会议审议通过</w:t>
      </w:r>
      <w:r>
        <w:rPr>
          <w:rFonts w:hint="eastAsia" w:ascii="Times New Roman" w:hAnsi="Times New Roman" w:eastAsia="仿宋_GB2312" w:cs="Times New Roman"/>
          <w:color w:val="auto"/>
          <w:sz w:val="32"/>
          <w:szCs w:val="32"/>
          <w:highlight w:val="none"/>
          <w:lang w:val="en-US" w:eastAsia="zh-CN"/>
        </w:rPr>
        <w:t>后</w:t>
      </w:r>
      <w:r>
        <w:rPr>
          <w:rFonts w:hint="eastAsia"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市科工信局会同市财政局将补助资金拨付至企业。</w:t>
      </w:r>
      <w:r>
        <w:rPr>
          <w:rFonts w:hint="eastAsia" w:ascii="仿宋_GB2312" w:hAnsi="仿宋_GB2312" w:eastAsia="仿宋_GB2312" w:cs="仿宋_GB2312"/>
          <w:color w:val="auto"/>
          <w:sz w:val="32"/>
          <w:szCs w:val="32"/>
          <w:highlight w:val="none"/>
          <w:lang w:eastAsia="zh-CN"/>
        </w:rPr>
        <w:t>评审人员应严格遵守本细则及相关法律法规，认真履行职责，违反本细则及相关法律法规的，应追究其相应责任。</w:t>
      </w:r>
    </w:p>
    <w:p w14:paraId="670F6A6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ascii="Times New Roman" w:hAnsi="Times New Roman" w:eastAsia="楷体_GB2312" w:cs="Times New Roman"/>
          <w:b/>
          <w:bCs/>
          <w:color w:val="auto"/>
          <w:sz w:val="32"/>
          <w:szCs w:val="32"/>
          <w:highlight w:val="none"/>
        </w:rPr>
        <w:t>第十</w:t>
      </w:r>
      <w:r>
        <w:rPr>
          <w:rFonts w:hint="eastAsia" w:ascii="Times New Roman" w:hAnsi="Times New Roman" w:eastAsia="楷体_GB2312" w:cs="Times New Roman"/>
          <w:b/>
          <w:bCs/>
          <w:color w:val="auto"/>
          <w:sz w:val="32"/>
          <w:szCs w:val="32"/>
          <w:highlight w:val="none"/>
          <w:lang w:eastAsia="zh-CN"/>
        </w:rPr>
        <w:t>六</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资金申报主体</w:t>
      </w:r>
      <w:r>
        <w:rPr>
          <w:rFonts w:hint="default" w:ascii="仿宋_GB2312" w:hAnsi="仿宋_GB2312" w:eastAsia="仿宋_GB2312" w:cs="仿宋_GB2312"/>
          <w:color w:val="auto"/>
          <w:sz w:val="32"/>
          <w:szCs w:val="32"/>
          <w:highlight w:val="none"/>
          <w:lang w:val="en-US" w:eastAsia="zh-CN"/>
        </w:rPr>
        <w:t>应当保证申报材料的真实性和合法性</w:t>
      </w:r>
      <w:r>
        <w:rPr>
          <w:rFonts w:hint="eastAsia" w:ascii="仿宋_GB2312" w:hAnsi="仿宋_GB2312" w:eastAsia="仿宋_GB2312" w:cs="仿宋_GB2312"/>
          <w:color w:val="auto"/>
          <w:sz w:val="32"/>
          <w:szCs w:val="32"/>
          <w:highlight w:val="none"/>
          <w:lang w:val="en-US" w:eastAsia="zh-CN"/>
        </w:rPr>
        <w:t>，积极配合开展监督检查，</w:t>
      </w:r>
      <w:r>
        <w:rPr>
          <w:rFonts w:hint="default" w:ascii="仿宋_GB2312" w:hAnsi="仿宋_GB2312" w:eastAsia="仿宋_GB2312" w:cs="仿宋_GB2312"/>
          <w:color w:val="auto"/>
          <w:sz w:val="32"/>
          <w:szCs w:val="32"/>
          <w:highlight w:val="none"/>
          <w:lang w:val="en-US" w:eastAsia="zh-CN"/>
        </w:rPr>
        <w:t>不得以虚报、伪造等手段骗取专项资金</w:t>
      </w:r>
      <w:r>
        <w:rPr>
          <w:rFonts w:hint="eastAsia" w:ascii="仿宋_GB2312" w:hAnsi="仿宋_GB2312" w:eastAsia="仿宋_GB2312" w:cs="仿宋_GB2312"/>
          <w:color w:val="auto"/>
          <w:sz w:val="32"/>
          <w:szCs w:val="32"/>
          <w:highlight w:val="none"/>
          <w:lang w:val="en-US" w:eastAsia="zh-CN"/>
        </w:rPr>
        <w:t>。违反本条规定的企业，须退还补助资金，且不得再次申请本</w:t>
      </w:r>
      <w:r>
        <w:rPr>
          <w:rFonts w:hint="eastAsia" w:ascii="仿宋_GB2312" w:hAnsi="仿宋_GB2312" w:eastAsia="仿宋_GB2312" w:cs="仿宋_GB2312"/>
          <w:color w:val="auto"/>
          <w:sz w:val="32"/>
          <w:szCs w:val="32"/>
          <w:highlight w:val="none"/>
        </w:rPr>
        <w:t>专</w:t>
      </w:r>
      <w:r>
        <w:rPr>
          <w:rFonts w:hint="eastAsia" w:ascii="仿宋_GB2312" w:hAnsi="仿宋_GB2312" w:eastAsia="仿宋_GB2312" w:cs="仿宋_GB2312"/>
          <w:color w:val="auto"/>
          <w:sz w:val="32"/>
          <w:szCs w:val="32"/>
          <w:highlight w:val="none"/>
          <w:lang w:val="en-US" w:eastAsia="zh-CN"/>
        </w:rPr>
        <w:t>项补助资金。情节严重的，将依照有关规定移交相关部门处理。</w:t>
      </w:r>
    </w:p>
    <w:p w14:paraId="644592A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楷体_GB2312" w:cs="Times New Roman"/>
          <w:b/>
          <w:bCs/>
          <w:color w:val="auto"/>
          <w:sz w:val="32"/>
          <w:szCs w:val="32"/>
          <w:highlight w:val="none"/>
        </w:rPr>
        <w:t>第十</w:t>
      </w:r>
      <w:r>
        <w:rPr>
          <w:rFonts w:hint="eastAsia" w:ascii="Times New Roman" w:hAnsi="Times New Roman" w:eastAsia="楷体_GB2312" w:cs="Times New Roman"/>
          <w:b/>
          <w:bCs/>
          <w:color w:val="auto"/>
          <w:sz w:val="32"/>
          <w:szCs w:val="32"/>
          <w:highlight w:val="none"/>
          <w:lang w:eastAsia="zh-CN"/>
        </w:rPr>
        <w:t>七</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rPr>
        <w:t>本实施细则由海口市科学技术</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工业信息化局、海口市财政局负责解释。</w:t>
      </w:r>
    </w:p>
    <w:p w14:paraId="09E6834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楷体_GB2312" w:cs="Times New Roman"/>
          <w:b/>
          <w:bCs/>
          <w:color w:val="auto"/>
          <w:sz w:val="32"/>
          <w:szCs w:val="32"/>
          <w:highlight w:val="none"/>
        </w:rPr>
        <w:t>第十</w:t>
      </w:r>
      <w:r>
        <w:rPr>
          <w:rFonts w:hint="eastAsia" w:ascii="Times New Roman" w:hAnsi="Times New Roman" w:eastAsia="楷体_GB2312" w:cs="Times New Roman"/>
          <w:b/>
          <w:bCs/>
          <w:color w:val="auto"/>
          <w:sz w:val="32"/>
          <w:szCs w:val="32"/>
          <w:highlight w:val="none"/>
          <w:lang w:eastAsia="zh-CN"/>
        </w:rPr>
        <w:t>八</w:t>
      </w:r>
      <w:r>
        <w:rPr>
          <w:rFonts w:ascii="Times New Roman" w:hAnsi="Times New Roman" w:eastAsia="楷体_GB2312" w:cs="Times New Roman"/>
          <w:b/>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rPr>
        <w:t>本实施细则自</w:t>
      </w:r>
      <w:r>
        <w:rPr>
          <w:rFonts w:hint="eastAsia" w:ascii="仿宋_GB2312" w:hAnsi="仿宋_GB2312" w:eastAsia="仿宋_GB2312" w:cs="仿宋_GB2312"/>
          <w:color w:val="auto"/>
          <w:sz w:val="32"/>
          <w:szCs w:val="32"/>
          <w:highlight w:val="none"/>
          <w:lang w:eastAsia="zh-CN"/>
        </w:rPr>
        <w:t>印发之日</w:t>
      </w:r>
      <w:r>
        <w:rPr>
          <w:rFonts w:hint="eastAsia" w:ascii="仿宋_GB2312" w:hAnsi="仿宋_GB2312" w:eastAsia="仿宋_GB2312" w:cs="仿宋_GB2312"/>
          <w:color w:val="auto"/>
          <w:sz w:val="32"/>
          <w:szCs w:val="32"/>
          <w:highlight w:val="none"/>
        </w:rPr>
        <w:t>起实施，有效期至202</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年2月25日。</w:t>
      </w:r>
    </w:p>
    <w:p w14:paraId="2ED00D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4D995C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highlight w:val="none"/>
        </w:rPr>
      </w:pPr>
      <w:r>
        <w:rPr>
          <w:rFonts w:hint="eastAsia" w:ascii="仿宋_GB2312" w:hAnsi="仿宋_GB2312" w:eastAsia="仿宋_GB2312" w:cs="仿宋_GB2312"/>
          <w:color w:val="auto"/>
          <w:sz w:val="32"/>
          <w:szCs w:val="32"/>
          <w:highlight w:val="none"/>
        </w:rPr>
        <w:br w:type="page"/>
      </w:r>
    </w:p>
    <w:p w14:paraId="0129B6CF">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附件1.中小企业数字化转型诊断报告</w:t>
      </w:r>
    </w:p>
    <w:p w14:paraId="4A381C1A">
      <w:pPr>
        <w:widowControl/>
        <w:tabs>
          <w:tab w:val="left" w:pos="420"/>
        </w:tabs>
        <w:autoSpaceDE w:val="0"/>
        <w:autoSpaceDN w:val="0"/>
        <w:spacing w:line="480" w:lineRule="auto"/>
        <w:jc w:val="center"/>
        <w:textAlignment w:val="bottom"/>
        <w:rPr>
          <w:rFonts w:ascii="黑体" w:hAnsi="宋体" w:eastAsia="黑体" w:cs="黑体"/>
          <w:color w:val="auto"/>
          <w:sz w:val="32"/>
          <w:szCs w:val="32"/>
          <w:highlight w:val="none"/>
        </w:rPr>
      </w:pPr>
      <w:bookmarkStart w:id="0" w:name="_Toc26863"/>
      <w:bookmarkStart w:id="1" w:name="_Toc14994"/>
      <w:bookmarkStart w:id="2" w:name="_Toc29236"/>
      <w:bookmarkStart w:id="3" w:name="_Toc24001"/>
    </w:p>
    <w:p w14:paraId="5619D9A4">
      <w:pPr>
        <w:widowControl/>
        <w:tabs>
          <w:tab w:val="left" w:pos="420"/>
        </w:tabs>
        <w:autoSpaceDE w:val="0"/>
        <w:autoSpaceDN w:val="0"/>
        <w:spacing w:line="480" w:lineRule="auto"/>
        <w:jc w:val="center"/>
        <w:textAlignment w:val="bottom"/>
        <w:rPr>
          <w:rFonts w:ascii="黑体" w:hAnsi="宋体" w:eastAsia="黑体" w:cs="黑体"/>
          <w:color w:val="auto"/>
          <w:sz w:val="32"/>
          <w:szCs w:val="32"/>
          <w:highlight w:val="none"/>
        </w:rPr>
      </w:pPr>
    </w:p>
    <w:p w14:paraId="601B6E23">
      <w:pPr>
        <w:widowControl/>
        <w:tabs>
          <w:tab w:val="left" w:pos="420"/>
        </w:tabs>
        <w:autoSpaceDE w:val="0"/>
        <w:autoSpaceDN w:val="0"/>
        <w:spacing w:line="480" w:lineRule="auto"/>
        <w:jc w:val="center"/>
        <w:textAlignment w:val="bottom"/>
        <w:rPr>
          <w:rFonts w:ascii="黑体" w:hAnsi="宋体" w:eastAsia="黑体" w:cs="黑体"/>
          <w:color w:val="auto"/>
          <w:sz w:val="32"/>
          <w:szCs w:val="32"/>
          <w:highlight w:val="none"/>
        </w:rPr>
      </w:pPr>
    </w:p>
    <w:p w14:paraId="6F88C82B">
      <w:pPr>
        <w:widowControl/>
        <w:tabs>
          <w:tab w:val="left" w:pos="420"/>
        </w:tabs>
        <w:autoSpaceDE w:val="0"/>
        <w:autoSpaceDN w:val="0"/>
        <w:spacing w:line="480" w:lineRule="auto"/>
        <w:jc w:val="center"/>
        <w:textAlignment w:val="bottom"/>
        <w:rPr>
          <w:rFonts w:ascii="黑体" w:hAnsi="宋体" w:eastAsia="黑体" w:cs="黑体"/>
          <w:color w:val="auto"/>
          <w:sz w:val="32"/>
          <w:szCs w:val="32"/>
          <w:highlight w:val="none"/>
        </w:rPr>
      </w:pPr>
    </w:p>
    <w:p w14:paraId="338D1401">
      <w:pPr>
        <w:widowControl/>
        <w:tabs>
          <w:tab w:val="left" w:pos="420"/>
        </w:tabs>
        <w:autoSpaceDE w:val="0"/>
        <w:autoSpaceDN w:val="0"/>
        <w:spacing w:line="480" w:lineRule="auto"/>
        <w:jc w:val="center"/>
        <w:textAlignment w:val="bottom"/>
        <w:rPr>
          <w:rFonts w:ascii="黑体" w:hAnsi="宋体" w:eastAsia="黑体" w:cs="黑体"/>
          <w:color w:val="auto"/>
          <w:sz w:val="32"/>
          <w:szCs w:val="32"/>
          <w:highlight w:val="none"/>
        </w:rPr>
      </w:pPr>
    </w:p>
    <w:p w14:paraId="2841CBDE">
      <w:pPr>
        <w:widowControl/>
        <w:tabs>
          <w:tab w:val="left" w:pos="420"/>
        </w:tabs>
        <w:autoSpaceDE w:val="0"/>
        <w:autoSpaceDN w:val="0"/>
        <w:spacing w:line="480" w:lineRule="auto"/>
        <w:jc w:val="center"/>
        <w:textAlignment w:val="bottom"/>
        <w:rPr>
          <w:rFonts w:eastAsia="黑体" w:cs="Times New Roman"/>
          <w:color w:val="auto"/>
          <w:sz w:val="48"/>
          <w:szCs w:val="48"/>
          <w:highlight w:val="none"/>
        </w:rPr>
      </w:pPr>
      <w:r>
        <w:rPr>
          <w:rFonts w:hint="eastAsia" w:ascii="黑体" w:hAnsi="宋体" w:eastAsia="黑体" w:cs="黑体"/>
          <w:color w:val="auto"/>
          <w:sz w:val="48"/>
          <w:szCs w:val="48"/>
          <w:highlight w:val="none"/>
          <w:lang w:bidi="ar"/>
          <w14:ligatures w14:val="standardContextual"/>
        </w:rPr>
        <w:t>中小企业数字化转型诊断报告</w:t>
      </w:r>
    </w:p>
    <w:p w14:paraId="45C992F7">
      <w:pPr>
        <w:widowControl/>
        <w:tabs>
          <w:tab w:val="left" w:pos="420"/>
        </w:tabs>
        <w:autoSpaceDE w:val="0"/>
        <w:autoSpaceDN w:val="0"/>
        <w:spacing w:line="480" w:lineRule="auto"/>
        <w:ind w:firstLine="1040"/>
        <w:jc w:val="center"/>
        <w:textAlignment w:val="bottom"/>
        <w:rPr>
          <w:rFonts w:eastAsia="黑体" w:cs="Times New Roman"/>
          <w:color w:val="auto"/>
          <w:sz w:val="52"/>
          <w:szCs w:val="52"/>
          <w:highlight w:val="none"/>
        </w:rPr>
      </w:pPr>
    </w:p>
    <w:p w14:paraId="7A6A4DFA">
      <w:pPr>
        <w:tabs>
          <w:tab w:val="left" w:pos="420"/>
        </w:tabs>
        <w:spacing w:line="360" w:lineRule="auto"/>
        <w:ind w:firstLine="253" w:firstLineChars="120"/>
        <w:rPr>
          <w:rFonts w:eastAsia="楷体" w:cs="Times New Roman"/>
          <w:b/>
          <w:color w:val="auto"/>
          <w:highlight w:val="none"/>
        </w:rPr>
      </w:pPr>
    </w:p>
    <w:p w14:paraId="64750FC5">
      <w:pPr>
        <w:tabs>
          <w:tab w:val="left" w:pos="420"/>
        </w:tabs>
        <w:spacing w:line="360" w:lineRule="auto"/>
        <w:ind w:firstLine="253" w:firstLineChars="120"/>
        <w:rPr>
          <w:rFonts w:eastAsia="楷体" w:cs="Times New Roman"/>
          <w:b/>
          <w:color w:val="auto"/>
          <w:highlight w:val="none"/>
        </w:rPr>
      </w:pPr>
    </w:p>
    <w:p w14:paraId="5EFDADF2">
      <w:pPr>
        <w:tabs>
          <w:tab w:val="left" w:pos="420"/>
        </w:tabs>
        <w:spacing w:line="360" w:lineRule="auto"/>
        <w:ind w:firstLine="253" w:firstLineChars="120"/>
        <w:rPr>
          <w:rFonts w:eastAsia="楷体" w:cs="Times New Roman"/>
          <w:b/>
          <w:color w:val="auto"/>
          <w:highlight w:val="none"/>
        </w:rPr>
      </w:pPr>
    </w:p>
    <w:p w14:paraId="5FCF84C6">
      <w:pPr>
        <w:tabs>
          <w:tab w:val="left" w:pos="420"/>
        </w:tabs>
        <w:spacing w:line="360" w:lineRule="auto"/>
        <w:ind w:firstLine="253" w:firstLineChars="120"/>
        <w:rPr>
          <w:rFonts w:eastAsia="楷体" w:cs="Times New Roman"/>
          <w:b/>
          <w:color w:val="auto"/>
          <w:highlight w:val="none"/>
        </w:rPr>
      </w:pPr>
    </w:p>
    <w:p w14:paraId="20530392">
      <w:pPr>
        <w:tabs>
          <w:tab w:val="left" w:pos="420"/>
        </w:tabs>
        <w:spacing w:line="360" w:lineRule="auto"/>
        <w:ind w:firstLine="253" w:firstLineChars="120"/>
        <w:rPr>
          <w:rFonts w:eastAsia="楷体" w:cs="Times New Roman"/>
          <w:b/>
          <w:color w:val="auto"/>
          <w:highlight w:val="none"/>
        </w:rPr>
      </w:pPr>
    </w:p>
    <w:p w14:paraId="34AA3E73">
      <w:pPr>
        <w:tabs>
          <w:tab w:val="left" w:pos="420"/>
        </w:tabs>
        <w:spacing w:line="360" w:lineRule="auto"/>
        <w:ind w:firstLine="253" w:firstLineChars="120"/>
        <w:rPr>
          <w:rFonts w:eastAsia="楷体" w:cs="Times New Roman"/>
          <w:b/>
          <w:color w:val="auto"/>
          <w:highlight w:val="none"/>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39"/>
        <w:gridCol w:w="2841"/>
      </w:tblGrid>
      <w:tr w14:paraId="263C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7EF491CE">
            <w:pPr>
              <w:tabs>
                <w:tab w:val="left" w:pos="420"/>
              </w:tabs>
              <w:spacing w:line="360" w:lineRule="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bidi="ar"/>
              </w:rPr>
              <w:t>拟改造企业：</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10C267EA">
            <w:pPr>
              <w:tabs>
                <w:tab w:val="left" w:pos="420"/>
              </w:tabs>
              <w:spacing w:line="360" w:lineRule="auto"/>
              <w:rPr>
                <w:rFonts w:ascii="楷体_GB2312" w:hAnsi="楷体_GB2312" w:eastAsia="楷体_GB2312" w:cs="楷体_GB2312"/>
                <w:b/>
                <w:color w:val="auto"/>
                <w:sz w:val="32"/>
                <w:szCs w:val="32"/>
                <w:highlight w:val="none"/>
              </w:rPr>
            </w:pP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0E396F8B">
            <w:pPr>
              <w:tabs>
                <w:tab w:val="left" w:pos="420"/>
              </w:tabs>
              <w:spacing w:line="360" w:lineRule="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bidi="ar"/>
              </w:rPr>
              <w:t>盖章</w:t>
            </w:r>
          </w:p>
        </w:tc>
      </w:tr>
      <w:tr w14:paraId="1097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329A57DF">
            <w:pPr>
              <w:tabs>
                <w:tab w:val="left" w:pos="420"/>
              </w:tabs>
              <w:spacing w:line="360" w:lineRule="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bidi="ar"/>
              </w:rPr>
              <w:t>诊断服务单位：</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17CB70EF">
            <w:pPr>
              <w:tabs>
                <w:tab w:val="left" w:pos="420"/>
              </w:tabs>
              <w:spacing w:line="360" w:lineRule="auto"/>
              <w:rPr>
                <w:rFonts w:ascii="楷体_GB2312" w:hAnsi="楷体_GB2312" w:eastAsia="楷体_GB2312" w:cs="楷体_GB2312"/>
                <w:b/>
                <w:color w:val="auto"/>
                <w:sz w:val="32"/>
                <w:szCs w:val="32"/>
                <w:highlight w:val="none"/>
              </w:rPr>
            </w:pP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2C08A4CD">
            <w:pPr>
              <w:tabs>
                <w:tab w:val="left" w:pos="420"/>
              </w:tabs>
              <w:spacing w:line="360" w:lineRule="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bidi="ar"/>
              </w:rPr>
              <w:t>盖章</w:t>
            </w:r>
          </w:p>
        </w:tc>
      </w:tr>
      <w:tr w14:paraId="5155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59F13A5">
            <w:pPr>
              <w:tabs>
                <w:tab w:val="left" w:pos="420"/>
              </w:tabs>
              <w:spacing w:line="360" w:lineRule="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bidi="ar"/>
              </w:rPr>
              <w:t>报告日期：</w:t>
            </w:r>
          </w:p>
        </w:tc>
        <w:tc>
          <w:tcPr>
            <w:tcW w:w="33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F2098D">
            <w:pPr>
              <w:tabs>
                <w:tab w:val="left" w:pos="420"/>
              </w:tabs>
              <w:spacing w:line="360" w:lineRule="auto"/>
              <w:rPr>
                <w:rFonts w:ascii="楷体_GB2312" w:hAnsi="楷体_GB2312" w:eastAsia="楷体_GB2312" w:cs="楷体_GB2312"/>
                <w:b/>
                <w:color w:val="auto"/>
                <w:sz w:val="32"/>
                <w:szCs w:val="32"/>
                <w:highlight w:val="none"/>
              </w:rPr>
            </w:pPr>
          </w:p>
        </w:tc>
      </w:tr>
    </w:tbl>
    <w:p w14:paraId="24688FC2">
      <w:pPr>
        <w:tabs>
          <w:tab w:val="left" w:pos="420"/>
        </w:tabs>
        <w:spacing w:line="360" w:lineRule="auto"/>
        <w:rPr>
          <w:rFonts w:eastAsia="楷体" w:cs="Times New Roman"/>
          <w:b/>
          <w:color w:val="auto"/>
          <w:highlight w:val="none"/>
        </w:rPr>
      </w:pPr>
    </w:p>
    <w:p w14:paraId="1FA4D6E2">
      <w:pPr>
        <w:tabs>
          <w:tab w:val="left" w:pos="420"/>
        </w:tabs>
        <w:rPr>
          <w:rFonts w:eastAsia="黑体" w:cs="Times New Roman"/>
          <w:bCs/>
          <w:color w:val="auto"/>
          <w:sz w:val="32"/>
          <w:szCs w:val="32"/>
          <w:highlight w:val="none"/>
        </w:rPr>
      </w:pPr>
      <w:r>
        <w:rPr>
          <w:rFonts w:ascii="Calibri" w:hAnsi="Calibri" w:eastAsia="宋体" w:cs="Times New Roman"/>
          <w:color w:val="auto"/>
          <w:szCs w:val="24"/>
          <w:highlight w:val="none"/>
          <w:lang w:bidi="ar"/>
        </w:rPr>
        <w:br w:type="page"/>
      </w:r>
      <w:bookmarkStart w:id="4" w:name="_Toc17436"/>
      <w:bookmarkStart w:id="5" w:name="_Toc440"/>
      <w:bookmarkStart w:id="6" w:name="_Toc4985"/>
      <w:bookmarkStart w:id="7" w:name="_Toc3006"/>
      <w:bookmarkStart w:id="8" w:name="_Toc3027"/>
      <w:bookmarkStart w:id="9" w:name="_Toc14515"/>
      <w:bookmarkStart w:id="10" w:name="_Toc21706"/>
      <w:bookmarkStart w:id="11" w:name="_Toc8077"/>
      <w:bookmarkStart w:id="12" w:name="_Toc6763"/>
      <w:r>
        <w:rPr>
          <w:rFonts w:hint="eastAsia" w:ascii="Calibri" w:hAnsi="Calibri" w:eastAsia="黑体" w:cs="Times New Roman"/>
          <w:bCs/>
          <w:color w:val="auto"/>
          <w:sz w:val="32"/>
          <w:szCs w:val="32"/>
          <w:highlight w:val="none"/>
          <w:lang w:bidi="ar"/>
          <w14:ligatures w14:val="standardContextual"/>
        </w:rPr>
        <w:t>一、诊断工作情况</w:t>
      </w:r>
      <w:bookmarkEnd w:id="0"/>
      <w:bookmarkEnd w:id="1"/>
      <w:bookmarkEnd w:id="2"/>
      <w:bookmarkEnd w:id="3"/>
      <w:bookmarkEnd w:id="4"/>
      <w:bookmarkEnd w:id="5"/>
      <w:bookmarkEnd w:id="6"/>
      <w:bookmarkEnd w:id="7"/>
      <w:bookmarkEnd w:id="8"/>
      <w:bookmarkEnd w:id="9"/>
      <w:bookmarkEnd w:id="10"/>
      <w:bookmarkEnd w:id="11"/>
      <w:bookmarkEnd w:id="12"/>
    </w:p>
    <w:p w14:paraId="051CC84A">
      <w:pPr>
        <w:numPr>
          <w:ilvl w:val="0"/>
          <w:numId w:val="1"/>
        </w:numPr>
        <w:tabs>
          <w:tab w:val="left" w:pos="420"/>
        </w:tabs>
        <w:ind w:firstLine="643" w:firstLineChars="200"/>
        <w:rPr>
          <w:rFonts w:ascii="仿宋_GB2312" w:hAnsi="仿宋_GB2312" w:eastAsia="仿宋_GB2312" w:cs="仿宋_GB2312"/>
          <w:b/>
          <w:bCs/>
          <w:color w:val="auto"/>
          <w:sz w:val="32"/>
          <w:szCs w:val="32"/>
          <w:highlight w:val="none"/>
        </w:rPr>
      </w:pPr>
      <w:bookmarkStart w:id="13" w:name="_Toc6171"/>
      <w:bookmarkStart w:id="14" w:name="_Toc1668"/>
      <w:bookmarkStart w:id="15" w:name="_Toc21472"/>
      <w:r>
        <w:rPr>
          <w:rFonts w:hint="eastAsia" w:ascii="仿宋_GB2312" w:hAnsi="仿宋_GB2312" w:eastAsia="仿宋_GB2312" w:cs="仿宋_GB2312"/>
          <w:b/>
          <w:bCs/>
          <w:color w:val="auto"/>
          <w:sz w:val="32"/>
          <w:szCs w:val="32"/>
          <w:highlight w:val="none"/>
          <w:lang w:bidi="ar"/>
          <w14:ligatures w14:val="standardContextual"/>
        </w:rPr>
        <w:t>诊断基本情况</w:t>
      </w:r>
      <w:bookmarkEnd w:id="13"/>
      <w:bookmarkEnd w:id="14"/>
      <w:bookmarkEnd w:id="15"/>
    </w:p>
    <w:p w14:paraId="1271194A">
      <w:pPr>
        <w:tabs>
          <w:tab w:val="left" w:pos="420"/>
        </w:tabs>
        <w:jc w:val="center"/>
        <w:rPr>
          <w:rFonts w:eastAsia="黑体" w:cs="Times New Roman"/>
          <w:color w:val="auto"/>
          <w:spacing w:val="6"/>
          <w:position w:val="2"/>
          <w:highlight w:val="none"/>
        </w:rPr>
      </w:pPr>
      <w:r>
        <w:rPr>
          <w:rFonts w:hint="eastAsia" w:ascii="Calibri" w:hAnsi="Calibri" w:eastAsia="黑体" w:cs="Times New Roman"/>
          <w:color w:val="auto"/>
          <w:spacing w:val="6"/>
          <w:position w:val="2"/>
          <w:sz w:val="24"/>
          <w:szCs w:val="24"/>
          <w:highlight w:val="none"/>
          <w:lang w:bidi="ar"/>
          <w14:ligatures w14:val="standardContextual"/>
        </w:rPr>
        <w:t>表</w:t>
      </w:r>
      <w:r>
        <w:rPr>
          <w:rFonts w:ascii="Calibri" w:hAnsi="Calibri" w:eastAsia="黑体" w:cs="Times New Roman"/>
          <w:color w:val="auto"/>
          <w:spacing w:val="6"/>
          <w:position w:val="2"/>
          <w:sz w:val="24"/>
          <w:szCs w:val="24"/>
          <w:highlight w:val="none"/>
          <w:lang w:bidi="ar"/>
          <w14:ligatures w14:val="standardContextual"/>
        </w:rPr>
        <w:t xml:space="preserve">1 </w:t>
      </w:r>
      <w:r>
        <w:rPr>
          <w:rFonts w:hint="eastAsia" w:ascii="Calibri" w:hAnsi="Calibri" w:eastAsia="黑体" w:cs="Times New Roman"/>
          <w:color w:val="auto"/>
          <w:spacing w:val="6"/>
          <w:position w:val="2"/>
          <w:sz w:val="24"/>
          <w:szCs w:val="24"/>
          <w:highlight w:val="none"/>
          <w:lang w:bidi="ar"/>
          <w14:ligatures w14:val="standardContextual"/>
        </w:rPr>
        <w:t>诊断过程记录表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222"/>
        <w:gridCol w:w="1749"/>
        <w:gridCol w:w="1896"/>
        <w:gridCol w:w="2365"/>
      </w:tblGrid>
      <w:tr w14:paraId="3DB2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68450948">
            <w:pPr>
              <w:tabs>
                <w:tab w:val="left" w:pos="420"/>
              </w:tabs>
              <w:jc w:val="center"/>
              <w:rPr>
                <w:rFonts w:ascii="仿宋_GB2312" w:hAnsi="仿宋_GB2312" w:eastAsia="仿宋_GB2312" w:cs="仿宋_GB2312"/>
                <w:b/>
                <w:bCs/>
                <w:color w:val="auto"/>
                <w:sz w:val="24"/>
                <w:szCs w:val="24"/>
                <w:highlight w:val="none"/>
              </w:rPr>
            </w:pPr>
            <w:bookmarkStart w:id="16" w:name="_Toc8649"/>
            <w:bookmarkStart w:id="17" w:name="_Toc30967"/>
            <w:bookmarkStart w:id="18" w:name="_Toc22809"/>
            <w:bookmarkStart w:id="19" w:name="_Toc13245"/>
            <w:bookmarkStart w:id="20" w:name="_Toc25458"/>
            <w:bookmarkStart w:id="21" w:name="_Toc29348"/>
            <w:bookmarkStart w:id="22" w:name="_Toc1678"/>
            <w:r>
              <w:rPr>
                <w:rFonts w:hint="eastAsia" w:ascii="仿宋_GB2312" w:hAnsi="仿宋_GB2312" w:eastAsia="仿宋_GB2312" w:cs="仿宋_GB2312"/>
                <w:b/>
                <w:bCs/>
                <w:color w:val="auto"/>
                <w:sz w:val="24"/>
                <w:szCs w:val="24"/>
                <w:highlight w:val="none"/>
              </w:rPr>
              <w:t>诊断时间</w:t>
            </w:r>
            <w:bookmarkEnd w:id="16"/>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1582CF41">
            <w:pPr>
              <w:tabs>
                <w:tab w:val="left" w:pos="420"/>
              </w:tabs>
              <w:jc w:val="center"/>
              <w:rPr>
                <w:rFonts w:ascii="仿宋_GB2312" w:hAnsi="仿宋_GB2312" w:eastAsia="仿宋_GB2312" w:cs="仿宋_GB2312"/>
                <w:b/>
                <w:bCs/>
                <w:color w:val="auto"/>
                <w:sz w:val="24"/>
                <w:szCs w:val="24"/>
                <w:highlight w:val="none"/>
              </w:rPr>
            </w:pPr>
            <w:bookmarkStart w:id="23" w:name="_Toc27713"/>
            <w:r>
              <w:rPr>
                <w:rFonts w:hint="eastAsia" w:ascii="仿宋_GB2312" w:hAnsi="仿宋_GB2312" w:eastAsia="仿宋_GB2312" w:cs="仿宋_GB2312"/>
                <w:b/>
                <w:bCs/>
                <w:color w:val="auto"/>
                <w:sz w:val="24"/>
                <w:szCs w:val="24"/>
                <w:highlight w:val="none"/>
              </w:rPr>
              <w:t>诊断方式</w:t>
            </w:r>
            <w:bookmarkEnd w:id="23"/>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63DECC3">
            <w:pPr>
              <w:tabs>
                <w:tab w:val="left" w:pos="420"/>
              </w:tabs>
              <w:jc w:val="center"/>
              <w:rPr>
                <w:rFonts w:ascii="仿宋_GB2312" w:hAnsi="仿宋_GB2312" w:eastAsia="仿宋_GB2312" w:cs="仿宋_GB2312"/>
                <w:b/>
                <w:bCs/>
                <w:color w:val="auto"/>
                <w:sz w:val="24"/>
                <w:szCs w:val="24"/>
                <w:highlight w:val="none"/>
              </w:rPr>
            </w:pPr>
            <w:bookmarkStart w:id="24" w:name="_Toc28465"/>
            <w:r>
              <w:rPr>
                <w:rFonts w:hint="eastAsia" w:ascii="仿宋_GB2312" w:hAnsi="仿宋_GB2312" w:eastAsia="仿宋_GB2312" w:cs="仿宋_GB2312"/>
                <w:b/>
                <w:bCs/>
                <w:color w:val="auto"/>
                <w:sz w:val="24"/>
                <w:szCs w:val="24"/>
                <w:highlight w:val="none"/>
              </w:rPr>
              <w:t>集成商负责人</w:t>
            </w:r>
            <w:bookmarkEnd w:id="24"/>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14:paraId="3E80A66C">
            <w:pPr>
              <w:tabs>
                <w:tab w:val="left" w:pos="420"/>
              </w:tabs>
              <w:jc w:val="center"/>
              <w:rPr>
                <w:rFonts w:ascii="仿宋_GB2312" w:hAnsi="仿宋_GB2312" w:eastAsia="仿宋_GB2312" w:cs="仿宋_GB2312"/>
                <w:b/>
                <w:bCs/>
                <w:color w:val="auto"/>
                <w:sz w:val="24"/>
                <w:szCs w:val="24"/>
                <w:highlight w:val="none"/>
              </w:rPr>
            </w:pPr>
            <w:bookmarkStart w:id="25" w:name="_Toc652"/>
            <w:r>
              <w:rPr>
                <w:rFonts w:hint="eastAsia" w:ascii="仿宋_GB2312" w:hAnsi="仿宋_GB2312" w:eastAsia="仿宋_GB2312" w:cs="仿宋_GB2312"/>
                <w:b/>
                <w:bCs/>
                <w:color w:val="auto"/>
                <w:sz w:val="24"/>
                <w:szCs w:val="24"/>
                <w:highlight w:val="none"/>
              </w:rPr>
              <w:t>企业负责人</w:t>
            </w:r>
            <w:bookmarkEnd w:id="25"/>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14:paraId="59474FAD">
            <w:pPr>
              <w:tabs>
                <w:tab w:val="left" w:pos="420"/>
              </w:tabs>
              <w:jc w:val="center"/>
              <w:rPr>
                <w:rFonts w:ascii="仿宋_GB2312" w:hAnsi="仿宋_GB2312" w:eastAsia="仿宋_GB2312" w:cs="仿宋_GB2312"/>
                <w:b/>
                <w:bCs/>
                <w:color w:val="auto"/>
                <w:sz w:val="24"/>
                <w:szCs w:val="24"/>
                <w:highlight w:val="none"/>
              </w:rPr>
            </w:pPr>
            <w:bookmarkStart w:id="26" w:name="_Toc27242"/>
            <w:r>
              <w:rPr>
                <w:rFonts w:hint="eastAsia" w:ascii="仿宋_GB2312" w:hAnsi="仿宋_GB2312" w:eastAsia="仿宋_GB2312" w:cs="仿宋_GB2312"/>
                <w:b/>
                <w:bCs/>
                <w:color w:val="auto"/>
                <w:sz w:val="24"/>
                <w:szCs w:val="24"/>
                <w:highlight w:val="none"/>
              </w:rPr>
              <w:t>具体内容</w:t>
            </w:r>
            <w:bookmarkEnd w:id="26"/>
          </w:p>
        </w:tc>
      </w:tr>
      <w:tr w14:paraId="7A47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4BC417ED">
            <w:pPr>
              <w:tabs>
                <w:tab w:val="left" w:pos="420"/>
              </w:tabs>
              <w:rPr>
                <w:rFonts w:ascii="仿宋_GB2312" w:hAnsi="仿宋_GB2312" w:eastAsia="仿宋_GB2312" w:cs="仿宋_GB2312"/>
                <w:b/>
                <w:bCs/>
                <w:color w:val="auto"/>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4F7467B1">
            <w:pPr>
              <w:tabs>
                <w:tab w:val="left" w:pos="420"/>
              </w:tabs>
              <w:rPr>
                <w:rFonts w:ascii="仿宋_GB2312" w:hAnsi="仿宋_GB2312" w:eastAsia="仿宋_GB2312" w:cs="仿宋_GB2312"/>
                <w:b/>
                <w:bCs/>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C53B596">
            <w:pPr>
              <w:tabs>
                <w:tab w:val="left" w:pos="420"/>
              </w:tabs>
              <w:jc w:val="left"/>
              <w:rPr>
                <w:rFonts w:ascii="仿宋_GB2312" w:hAnsi="仿宋_GB2312" w:eastAsia="仿宋_GB2312" w:cs="仿宋_GB2312"/>
                <w:b/>
                <w:bCs/>
                <w:color w:val="auto"/>
                <w:sz w:val="24"/>
                <w:szCs w:val="24"/>
                <w:highlight w:val="none"/>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14:paraId="42E75DBB">
            <w:pPr>
              <w:tabs>
                <w:tab w:val="left" w:pos="420"/>
              </w:tabs>
              <w:jc w:val="left"/>
              <w:rPr>
                <w:rFonts w:ascii="仿宋_GB2312" w:hAnsi="仿宋_GB2312" w:eastAsia="仿宋_GB2312" w:cs="仿宋_GB2312"/>
                <w:b/>
                <w:bCs/>
                <w:color w:val="auto"/>
                <w:sz w:val="24"/>
                <w:szCs w:val="24"/>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14:paraId="1F97BA7B">
            <w:pPr>
              <w:tabs>
                <w:tab w:val="left" w:pos="420"/>
              </w:tabs>
              <w:jc w:val="left"/>
              <w:rPr>
                <w:rFonts w:ascii="仿宋_GB2312" w:hAnsi="仿宋_GB2312" w:eastAsia="仿宋_GB2312" w:cs="仿宋_GB2312"/>
                <w:b/>
                <w:bCs/>
                <w:color w:val="auto"/>
                <w:sz w:val="24"/>
                <w:szCs w:val="24"/>
                <w:highlight w:val="none"/>
              </w:rPr>
            </w:pPr>
          </w:p>
        </w:tc>
      </w:tr>
      <w:tr w14:paraId="7D3A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69E56D9E">
            <w:pPr>
              <w:tabs>
                <w:tab w:val="left" w:pos="420"/>
              </w:tabs>
              <w:rPr>
                <w:rFonts w:ascii="仿宋_GB2312" w:hAnsi="仿宋_GB2312" w:eastAsia="仿宋_GB2312" w:cs="仿宋_GB2312"/>
                <w:b/>
                <w:bCs/>
                <w:color w:val="auto"/>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6AE5AAEE">
            <w:pPr>
              <w:tabs>
                <w:tab w:val="left" w:pos="420"/>
              </w:tabs>
              <w:rPr>
                <w:rFonts w:ascii="仿宋_GB2312" w:hAnsi="仿宋_GB2312" w:eastAsia="仿宋_GB2312" w:cs="仿宋_GB2312"/>
                <w:b/>
                <w:bCs/>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B212792">
            <w:pPr>
              <w:tabs>
                <w:tab w:val="left" w:pos="420"/>
              </w:tabs>
              <w:jc w:val="left"/>
              <w:rPr>
                <w:rFonts w:ascii="仿宋_GB2312" w:hAnsi="仿宋_GB2312" w:eastAsia="仿宋_GB2312" w:cs="仿宋_GB2312"/>
                <w:b/>
                <w:bCs/>
                <w:color w:val="auto"/>
                <w:sz w:val="24"/>
                <w:szCs w:val="24"/>
                <w:highlight w:val="none"/>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14:paraId="0FE786AE">
            <w:pPr>
              <w:tabs>
                <w:tab w:val="left" w:pos="420"/>
              </w:tabs>
              <w:jc w:val="left"/>
              <w:rPr>
                <w:rFonts w:ascii="仿宋_GB2312" w:hAnsi="仿宋_GB2312" w:eastAsia="仿宋_GB2312" w:cs="仿宋_GB2312"/>
                <w:b/>
                <w:bCs/>
                <w:color w:val="auto"/>
                <w:sz w:val="24"/>
                <w:szCs w:val="24"/>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14:paraId="1AEFE3DA">
            <w:pPr>
              <w:tabs>
                <w:tab w:val="left" w:pos="420"/>
              </w:tabs>
              <w:jc w:val="left"/>
              <w:rPr>
                <w:rFonts w:ascii="仿宋_GB2312" w:hAnsi="仿宋_GB2312" w:eastAsia="仿宋_GB2312" w:cs="仿宋_GB2312"/>
                <w:b/>
                <w:bCs/>
                <w:color w:val="auto"/>
                <w:sz w:val="24"/>
                <w:szCs w:val="24"/>
                <w:highlight w:val="none"/>
              </w:rPr>
            </w:pPr>
          </w:p>
        </w:tc>
      </w:tr>
    </w:tbl>
    <w:p w14:paraId="68DF9704">
      <w:pPr>
        <w:spacing w:line="560" w:lineRule="exact"/>
        <w:ind w:firstLine="643" w:firstLineChars="200"/>
        <w:rPr>
          <w:rFonts w:eastAsia="仿宋_GB2312"/>
          <w:b/>
          <w:bCs/>
          <w:color w:val="auto"/>
          <w:highlight w:val="none"/>
        </w:rPr>
      </w:pPr>
      <w:bookmarkStart w:id="27" w:name="_Toc10673"/>
      <w:bookmarkStart w:id="28" w:name="_Toc8214"/>
      <w:bookmarkStart w:id="29" w:name="_Toc26188"/>
      <w:r>
        <w:rPr>
          <w:rFonts w:hint="eastAsia" w:ascii="仿宋_GB2312" w:hAnsi="仿宋_GB2312" w:eastAsia="仿宋_GB2312" w:cs="仿宋_GB2312"/>
          <w:b/>
          <w:bCs/>
          <w:color w:val="auto"/>
          <w:sz w:val="32"/>
          <w:szCs w:val="32"/>
          <w:highlight w:val="none"/>
          <w:lang w:bidi="ar"/>
          <w14:ligatures w14:val="standardContextual"/>
        </w:rPr>
        <w:t>（二）签到表</w:t>
      </w:r>
      <w:bookmarkEnd w:id="27"/>
      <w:bookmarkEnd w:id="28"/>
      <w:bookmarkEnd w:id="29"/>
    </w:p>
    <w:p w14:paraId="4EC623E2">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14:ligatures w14:val="standardContextual"/>
        </w:rPr>
        <w:t>提供入企诊断签到表。</w:t>
      </w:r>
    </w:p>
    <w:p w14:paraId="6337BC0B">
      <w:pPr>
        <w:spacing w:line="560" w:lineRule="exact"/>
        <w:ind w:firstLine="643" w:firstLineChars="200"/>
        <w:rPr>
          <w:rFonts w:ascii="仿宋_GB2312" w:hAnsi="仿宋_GB2312" w:eastAsia="仿宋_GB2312" w:cs="仿宋_GB2312"/>
          <w:b/>
          <w:bCs/>
          <w:color w:val="auto"/>
          <w:sz w:val="32"/>
          <w:szCs w:val="32"/>
          <w:highlight w:val="none"/>
        </w:rPr>
      </w:pPr>
      <w:bookmarkStart w:id="30" w:name="_Toc4072"/>
      <w:bookmarkStart w:id="31" w:name="_Toc31581"/>
      <w:bookmarkStart w:id="32" w:name="_Toc12584"/>
      <w:r>
        <w:rPr>
          <w:rFonts w:hint="eastAsia" w:ascii="仿宋_GB2312" w:hAnsi="仿宋_GB2312" w:eastAsia="仿宋_GB2312" w:cs="仿宋_GB2312"/>
          <w:b/>
          <w:bCs/>
          <w:color w:val="auto"/>
          <w:sz w:val="32"/>
          <w:szCs w:val="32"/>
          <w:highlight w:val="none"/>
          <w:lang w:bidi="ar"/>
          <w14:ligatures w14:val="standardContextual"/>
        </w:rPr>
        <w:t>（三）现场诊断照片</w:t>
      </w:r>
      <w:bookmarkEnd w:id="30"/>
      <w:bookmarkEnd w:id="31"/>
      <w:bookmarkEnd w:id="32"/>
    </w:p>
    <w:p w14:paraId="179B966C">
      <w:pPr>
        <w:spacing w:line="560" w:lineRule="exact"/>
        <w:ind w:firstLine="640" w:firstLineChars="200"/>
        <w:rPr>
          <w:color w:val="auto"/>
          <w:sz w:val="32"/>
          <w:szCs w:val="32"/>
          <w:highlight w:val="none"/>
        </w:rPr>
      </w:pPr>
      <w:r>
        <w:rPr>
          <w:rFonts w:hint="eastAsia" w:ascii="仿宋_GB2312" w:hAnsi="仿宋_GB2312" w:eastAsia="仿宋_GB2312" w:cs="仿宋_GB2312"/>
          <w:color w:val="auto"/>
          <w:sz w:val="32"/>
          <w:szCs w:val="32"/>
          <w:highlight w:val="none"/>
          <w:lang w:bidi="ar"/>
          <w14:ligatures w14:val="standardContextual"/>
        </w:rPr>
        <w:t>附图，场景尽可能详实。</w:t>
      </w:r>
    </w:p>
    <w:p w14:paraId="1C3C013A">
      <w:pPr>
        <w:tabs>
          <w:tab w:val="left" w:pos="420"/>
        </w:tabs>
        <w:rPr>
          <w:rFonts w:eastAsia="黑体" w:cs="Times New Roman"/>
          <w:bCs/>
          <w:color w:val="auto"/>
          <w:sz w:val="32"/>
          <w:szCs w:val="32"/>
          <w:highlight w:val="none"/>
        </w:rPr>
      </w:pPr>
      <w:bookmarkStart w:id="33" w:name="_Toc24973"/>
      <w:bookmarkStart w:id="34" w:name="_Toc10557"/>
      <w:bookmarkStart w:id="35" w:name="_Toc7464"/>
      <w:bookmarkStart w:id="36" w:name="_Toc2303"/>
      <w:bookmarkStart w:id="37" w:name="_Toc25297"/>
      <w:bookmarkStart w:id="38" w:name="_Toc5164"/>
      <w:bookmarkStart w:id="39" w:name="_Toc3345"/>
      <w:r>
        <w:rPr>
          <w:rFonts w:hint="eastAsia" w:ascii="Calibri" w:hAnsi="Calibri" w:eastAsia="黑体" w:cs="Times New Roman"/>
          <w:bCs/>
          <w:color w:val="auto"/>
          <w:sz w:val="32"/>
          <w:szCs w:val="32"/>
          <w:highlight w:val="none"/>
          <w:lang w:bidi="ar"/>
          <w14:ligatures w14:val="standardContextual"/>
        </w:rPr>
        <w:t>二、企业基本信息</w:t>
      </w:r>
      <w:bookmarkEnd w:id="17"/>
      <w:bookmarkEnd w:id="18"/>
      <w:bookmarkEnd w:id="19"/>
      <w:bookmarkEnd w:id="20"/>
      <w:bookmarkEnd w:id="21"/>
      <w:bookmarkEnd w:id="22"/>
      <w:bookmarkEnd w:id="33"/>
      <w:bookmarkEnd w:id="34"/>
      <w:bookmarkEnd w:id="35"/>
      <w:bookmarkEnd w:id="36"/>
      <w:bookmarkEnd w:id="37"/>
      <w:bookmarkEnd w:id="38"/>
      <w:bookmarkEnd w:id="39"/>
    </w:p>
    <w:p w14:paraId="6A02BC56">
      <w:pPr>
        <w:tabs>
          <w:tab w:val="left" w:pos="420"/>
        </w:tabs>
        <w:ind w:firstLine="640"/>
        <w:jc w:val="center"/>
        <w:rPr>
          <w:rFonts w:eastAsia="黑体" w:cs="Times New Roman"/>
          <w:color w:val="auto"/>
          <w:spacing w:val="6"/>
          <w:position w:val="2"/>
          <w:sz w:val="24"/>
          <w:szCs w:val="24"/>
          <w:highlight w:val="none"/>
        </w:rPr>
      </w:pPr>
      <w:bookmarkStart w:id="40" w:name="_Toc7264"/>
      <w:bookmarkStart w:id="41" w:name="_Toc30323"/>
      <w:bookmarkStart w:id="42" w:name="_Toc21485"/>
      <w:r>
        <w:rPr>
          <w:rFonts w:hint="eastAsia" w:ascii="Calibri" w:hAnsi="Calibri" w:eastAsia="黑体" w:cs="Times New Roman"/>
          <w:color w:val="auto"/>
          <w:spacing w:val="6"/>
          <w:position w:val="2"/>
          <w:sz w:val="24"/>
          <w:szCs w:val="24"/>
          <w:highlight w:val="none"/>
          <w:lang w:bidi="ar"/>
          <w14:ligatures w14:val="standardContextual"/>
        </w:rPr>
        <w:t>表</w:t>
      </w:r>
      <w:r>
        <w:rPr>
          <w:rFonts w:ascii="Calibri" w:hAnsi="Calibri" w:eastAsia="黑体" w:cs="Times New Roman"/>
          <w:color w:val="auto"/>
          <w:spacing w:val="6"/>
          <w:position w:val="2"/>
          <w:sz w:val="24"/>
          <w:szCs w:val="24"/>
          <w:highlight w:val="none"/>
          <w:lang w:bidi="ar"/>
          <w14:ligatures w14:val="standardContextual"/>
        </w:rPr>
        <w:t xml:space="preserve">2 </w:t>
      </w:r>
      <w:r>
        <w:rPr>
          <w:rFonts w:hint="eastAsia" w:ascii="Calibri" w:hAnsi="Calibri" w:eastAsia="黑体" w:cs="Times New Roman"/>
          <w:color w:val="auto"/>
          <w:spacing w:val="6"/>
          <w:position w:val="2"/>
          <w:sz w:val="24"/>
          <w:szCs w:val="24"/>
          <w:highlight w:val="none"/>
          <w:lang w:bidi="ar"/>
          <w14:ligatures w14:val="standardContextual"/>
        </w:rPr>
        <w:t>基本情况（试点企业改造前填写）</w:t>
      </w:r>
      <w:bookmarkEnd w:id="40"/>
      <w:bookmarkEnd w:id="41"/>
      <w:bookmarkEnd w:id="42"/>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315"/>
        <w:gridCol w:w="1702"/>
        <w:gridCol w:w="2384"/>
      </w:tblGrid>
      <w:tr w14:paraId="203C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1807C6B0">
            <w:pPr>
              <w:widowControl/>
              <w:tabs>
                <w:tab w:val="left" w:pos="420"/>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企业名称</w:t>
            </w:r>
          </w:p>
        </w:tc>
        <w:tc>
          <w:tcPr>
            <w:tcW w:w="2315" w:type="dxa"/>
            <w:tcBorders>
              <w:top w:val="single" w:color="auto" w:sz="4" w:space="0"/>
              <w:left w:val="nil"/>
              <w:bottom w:val="single" w:color="auto" w:sz="4" w:space="0"/>
              <w:right w:val="single" w:color="auto" w:sz="4" w:space="0"/>
            </w:tcBorders>
            <w:shd w:val="clear" w:color="auto" w:fill="auto"/>
            <w:vAlign w:val="center"/>
          </w:tcPr>
          <w:p w14:paraId="0E993851">
            <w:pPr>
              <w:widowControl/>
              <w:tabs>
                <w:tab w:val="left" w:pos="420"/>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p>
        </w:tc>
        <w:tc>
          <w:tcPr>
            <w:tcW w:w="1702" w:type="dxa"/>
            <w:tcBorders>
              <w:top w:val="single" w:color="auto" w:sz="4" w:space="0"/>
              <w:left w:val="nil"/>
              <w:bottom w:val="single" w:color="auto" w:sz="4" w:space="0"/>
              <w:right w:val="single" w:color="auto" w:sz="4" w:space="0"/>
            </w:tcBorders>
            <w:shd w:val="clear" w:color="auto" w:fill="auto"/>
            <w:vAlign w:val="center"/>
          </w:tcPr>
          <w:p w14:paraId="43F43F95">
            <w:pPr>
              <w:widowControl/>
              <w:tabs>
                <w:tab w:val="left" w:pos="420"/>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所属城市</w:t>
            </w:r>
          </w:p>
        </w:tc>
        <w:tc>
          <w:tcPr>
            <w:tcW w:w="2384" w:type="dxa"/>
            <w:tcBorders>
              <w:top w:val="single" w:color="auto" w:sz="4" w:space="0"/>
              <w:left w:val="nil"/>
              <w:bottom w:val="single" w:color="auto" w:sz="4" w:space="0"/>
              <w:right w:val="single" w:color="auto" w:sz="4" w:space="0"/>
            </w:tcBorders>
            <w:shd w:val="clear" w:color="auto" w:fill="auto"/>
            <w:vAlign w:val="center"/>
          </w:tcPr>
          <w:p w14:paraId="6BB5A8B4">
            <w:pPr>
              <w:widowControl/>
              <w:tabs>
                <w:tab w:val="left" w:pos="420"/>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p>
        </w:tc>
      </w:tr>
      <w:tr w14:paraId="447C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607636EA">
            <w:pPr>
              <w:widowControl/>
              <w:tabs>
                <w:tab w:val="left" w:pos="420"/>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注册地址</w:t>
            </w:r>
          </w:p>
        </w:tc>
        <w:tc>
          <w:tcPr>
            <w:tcW w:w="2315" w:type="dxa"/>
            <w:tcBorders>
              <w:top w:val="single" w:color="auto" w:sz="4" w:space="0"/>
              <w:left w:val="nil"/>
              <w:bottom w:val="single" w:color="auto" w:sz="4" w:space="0"/>
              <w:right w:val="single" w:color="auto" w:sz="4" w:space="0"/>
            </w:tcBorders>
            <w:shd w:val="clear" w:color="auto" w:fill="auto"/>
            <w:vAlign w:val="center"/>
          </w:tcPr>
          <w:p w14:paraId="34D2E190">
            <w:pPr>
              <w:widowControl/>
              <w:tabs>
                <w:tab w:val="left" w:pos="420"/>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p>
        </w:tc>
        <w:tc>
          <w:tcPr>
            <w:tcW w:w="1702" w:type="dxa"/>
            <w:tcBorders>
              <w:top w:val="single" w:color="auto" w:sz="4" w:space="0"/>
              <w:left w:val="nil"/>
              <w:bottom w:val="single" w:color="auto" w:sz="4" w:space="0"/>
              <w:right w:val="single" w:color="auto" w:sz="4" w:space="0"/>
            </w:tcBorders>
            <w:shd w:val="clear" w:color="auto" w:fill="auto"/>
            <w:vAlign w:val="center"/>
          </w:tcPr>
          <w:p w14:paraId="6DFB6554">
            <w:pPr>
              <w:widowControl/>
              <w:tabs>
                <w:tab w:val="left" w:pos="420"/>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企业信用代码</w:t>
            </w:r>
          </w:p>
        </w:tc>
        <w:tc>
          <w:tcPr>
            <w:tcW w:w="2384" w:type="dxa"/>
            <w:tcBorders>
              <w:top w:val="single" w:color="auto" w:sz="4" w:space="0"/>
              <w:left w:val="nil"/>
              <w:bottom w:val="single" w:color="auto" w:sz="4" w:space="0"/>
              <w:right w:val="single" w:color="auto" w:sz="4" w:space="0"/>
            </w:tcBorders>
            <w:shd w:val="clear" w:color="auto" w:fill="auto"/>
            <w:vAlign w:val="center"/>
          </w:tcPr>
          <w:p w14:paraId="7EA0138D">
            <w:pPr>
              <w:widowControl/>
              <w:tabs>
                <w:tab w:val="left" w:pos="420"/>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p>
        </w:tc>
      </w:tr>
      <w:tr w14:paraId="6B92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36716859">
            <w:pPr>
              <w:widowControl/>
              <w:tabs>
                <w:tab w:val="left" w:pos="420"/>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联系人</w:t>
            </w:r>
          </w:p>
        </w:tc>
        <w:tc>
          <w:tcPr>
            <w:tcW w:w="2315" w:type="dxa"/>
            <w:tcBorders>
              <w:top w:val="single" w:color="auto" w:sz="4" w:space="0"/>
              <w:left w:val="nil"/>
              <w:bottom w:val="single" w:color="auto" w:sz="4" w:space="0"/>
              <w:right w:val="single" w:color="auto" w:sz="4" w:space="0"/>
            </w:tcBorders>
            <w:shd w:val="clear" w:color="auto" w:fill="auto"/>
            <w:vAlign w:val="center"/>
          </w:tcPr>
          <w:p w14:paraId="36161BB8">
            <w:pPr>
              <w:widowControl/>
              <w:tabs>
                <w:tab w:val="left" w:pos="420"/>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p>
        </w:tc>
        <w:tc>
          <w:tcPr>
            <w:tcW w:w="1702" w:type="dxa"/>
            <w:tcBorders>
              <w:top w:val="single" w:color="auto" w:sz="4" w:space="0"/>
              <w:left w:val="nil"/>
              <w:bottom w:val="single" w:color="auto" w:sz="4" w:space="0"/>
              <w:right w:val="single" w:color="auto" w:sz="4" w:space="0"/>
            </w:tcBorders>
            <w:shd w:val="clear" w:color="auto" w:fill="auto"/>
            <w:vAlign w:val="center"/>
          </w:tcPr>
          <w:p w14:paraId="656B00FB">
            <w:pPr>
              <w:widowControl/>
              <w:tabs>
                <w:tab w:val="left" w:pos="420"/>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联系方式</w:t>
            </w:r>
          </w:p>
        </w:tc>
        <w:tc>
          <w:tcPr>
            <w:tcW w:w="2384" w:type="dxa"/>
            <w:tcBorders>
              <w:top w:val="single" w:color="auto" w:sz="4" w:space="0"/>
              <w:left w:val="nil"/>
              <w:bottom w:val="single" w:color="auto" w:sz="4" w:space="0"/>
              <w:right w:val="single" w:color="auto" w:sz="4" w:space="0"/>
            </w:tcBorders>
            <w:shd w:val="clear" w:color="auto" w:fill="auto"/>
            <w:vAlign w:val="center"/>
          </w:tcPr>
          <w:p w14:paraId="006E2172">
            <w:pPr>
              <w:widowControl/>
              <w:tabs>
                <w:tab w:val="left" w:pos="420"/>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p>
        </w:tc>
      </w:tr>
      <w:tr w14:paraId="5991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10AC69C4">
            <w:pPr>
              <w:widowControl/>
              <w:tabs>
                <w:tab w:val="left" w:pos="420"/>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企业基本情况</w:t>
            </w:r>
          </w:p>
        </w:tc>
        <w:tc>
          <w:tcPr>
            <w:tcW w:w="6400" w:type="dxa"/>
            <w:gridSpan w:val="3"/>
            <w:tcBorders>
              <w:top w:val="single" w:color="auto" w:sz="4" w:space="0"/>
              <w:left w:val="nil"/>
              <w:bottom w:val="single" w:color="auto" w:sz="4" w:space="0"/>
              <w:right w:val="single" w:color="auto" w:sz="4" w:space="0"/>
            </w:tcBorders>
            <w:shd w:val="clear" w:color="auto" w:fill="auto"/>
            <w:vAlign w:val="center"/>
          </w:tcPr>
          <w:p w14:paraId="2F0178B8">
            <w:pPr>
              <w:widowControl/>
              <w:tabs>
                <w:tab w:val="left" w:pos="420"/>
              </w:tabs>
              <w:kinsoku w:val="0"/>
              <w:autoSpaceDE w:val="0"/>
              <w:autoSpaceDN w:val="0"/>
              <w:spacing w:line="560" w:lineRule="exact"/>
              <w:jc w:val="left"/>
              <w:textAlignment w:val="baseline"/>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snapToGrid w:val="0"/>
                <w:color w:val="auto"/>
                <w:kern w:val="0"/>
                <w:szCs w:val="21"/>
                <w:highlight w:val="none"/>
                <w:lang w:bidi="ar"/>
                <w14:ligatures w14:val="standardContextual"/>
              </w:rPr>
              <w:t>（</w:t>
            </w:r>
            <w:r>
              <w:rPr>
                <w:rFonts w:hint="eastAsia" w:ascii="仿宋_GB2312" w:hAnsi="仿宋_GB2312" w:eastAsia="仿宋_GB2312" w:cs="仿宋_GB2312"/>
                <w:bCs/>
                <w:color w:val="auto"/>
                <w:kern w:val="0"/>
                <w:szCs w:val="21"/>
                <w:highlight w:val="none"/>
                <w:lang w:bidi="ar"/>
                <w14:ligatures w14:val="standardContextual"/>
              </w:rPr>
              <w:t>500</w:t>
            </w:r>
            <w:r>
              <w:rPr>
                <w:rFonts w:hint="eastAsia" w:ascii="仿宋_GB2312" w:hAnsi="仿宋_GB2312" w:eastAsia="仿宋_GB2312" w:cs="仿宋_GB2312"/>
                <w:bCs/>
                <w:snapToGrid w:val="0"/>
                <w:color w:val="auto"/>
                <w:kern w:val="0"/>
                <w:szCs w:val="21"/>
                <w:highlight w:val="none"/>
                <w:lang w:bidi="ar"/>
                <w14:ligatures w14:val="standardContextual"/>
              </w:rPr>
              <w:t>字以内）</w:t>
            </w:r>
          </w:p>
        </w:tc>
      </w:tr>
      <w:tr w14:paraId="22E4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16E0ED0D">
            <w:pPr>
              <w:widowControl/>
              <w:tabs>
                <w:tab w:val="left" w:pos="420"/>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企业性质</w:t>
            </w:r>
          </w:p>
        </w:tc>
        <w:tc>
          <w:tcPr>
            <w:tcW w:w="6400" w:type="dxa"/>
            <w:gridSpan w:val="3"/>
            <w:tcBorders>
              <w:top w:val="single" w:color="auto" w:sz="4" w:space="0"/>
              <w:left w:val="nil"/>
              <w:bottom w:val="single" w:color="auto" w:sz="4" w:space="0"/>
              <w:right w:val="single" w:color="auto" w:sz="4" w:space="0"/>
            </w:tcBorders>
            <w:shd w:val="clear" w:color="auto" w:fill="auto"/>
            <w:vAlign w:val="center"/>
          </w:tcPr>
          <w:p w14:paraId="6D9A2B52">
            <w:pPr>
              <w:widowControl/>
              <w:tabs>
                <w:tab w:val="left" w:pos="420"/>
              </w:tabs>
              <w:kinsoku w:val="0"/>
              <w:autoSpaceDE w:val="0"/>
              <w:autoSpaceDN w:val="0"/>
              <w:jc w:val="center"/>
              <w:textAlignment w:val="baseline"/>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snapToGrid w:val="0"/>
                <w:color w:val="auto"/>
                <w:kern w:val="0"/>
                <w:szCs w:val="21"/>
                <w:highlight w:val="none"/>
                <w:lang w:bidi="ar"/>
                <w14:ligatures w14:val="standardContextual"/>
              </w:rPr>
              <w:t>□国有</w:t>
            </w:r>
            <w:r>
              <w:rPr>
                <w:rFonts w:hint="eastAsia" w:ascii="仿宋_GB2312" w:hAnsi="仿宋_GB2312" w:eastAsia="仿宋_GB2312" w:cs="仿宋_GB2312"/>
                <w:bCs/>
                <w:color w:val="auto"/>
                <w:kern w:val="0"/>
                <w:szCs w:val="21"/>
                <w:highlight w:val="none"/>
                <w:lang w:bidi="ar"/>
                <w14:ligatures w14:val="standardContextual"/>
              </w:rPr>
              <w:t xml:space="preserve">      </w:t>
            </w:r>
            <w:r>
              <w:rPr>
                <w:rFonts w:hint="eastAsia" w:ascii="仿宋_GB2312" w:hAnsi="仿宋_GB2312" w:eastAsia="仿宋_GB2312" w:cs="仿宋_GB2312"/>
                <w:bCs/>
                <w:snapToGrid w:val="0"/>
                <w:color w:val="auto"/>
                <w:kern w:val="0"/>
                <w:szCs w:val="21"/>
                <w:highlight w:val="none"/>
                <w:lang w:bidi="ar"/>
                <w14:ligatures w14:val="standardContextual"/>
              </w:rPr>
              <w:t xml:space="preserve">□民营 </w:t>
            </w:r>
            <w:r>
              <w:rPr>
                <w:rFonts w:hint="eastAsia" w:ascii="仿宋_GB2312" w:hAnsi="仿宋_GB2312" w:eastAsia="仿宋_GB2312" w:cs="仿宋_GB2312"/>
                <w:bCs/>
                <w:color w:val="auto"/>
                <w:kern w:val="0"/>
                <w:szCs w:val="21"/>
                <w:highlight w:val="none"/>
                <w:lang w:bidi="ar"/>
                <w14:ligatures w14:val="standardContextual"/>
              </w:rPr>
              <w:t xml:space="preserve">     </w:t>
            </w:r>
            <w:r>
              <w:rPr>
                <w:rFonts w:hint="eastAsia" w:ascii="仿宋_GB2312" w:hAnsi="仿宋_GB2312" w:eastAsia="仿宋_GB2312" w:cs="仿宋_GB2312"/>
                <w:bCs/>
                <w:snapToGrid w:val="0"/>
                <w:color w:val="auto"/>
                <w:kern w:val="0"/>
                <w:szCs w:val="21"/>
                <w:highlight w:val="none"/>
                <w:lang w:bidi="ar"/>
                <w14:ligatures w14:val="standardContextual"/>
              </w:rPr>
              <w:t xml:space="preserve">□外资 </w:t>
            </w:r>
            <w:r>
              <w:rPr>
                <w:rFonts w:hint="eastAsia" w:ascii="仿宋_GB2312" w:hAnsi="仿宋_GB2312" w:eastAsia="仿宋_GB2312" w:cs="仿宋_GB2312"/>
                <w:bCs/>
                <w:color w:val="auto"/>
                <w:kern w:val="0"/>
                <w:szCs w:val="21"/>
                <w:highlight w:val="none"/>
                <w:lang w:bidi="ar"/>
                <w14:ligatures w14:val="standardContextual"/>
              </w:rPr>
              <w:t xml:space="preserve">     </w:t>
            </w:r>
            <w:r>
              <w:rPr>
                <w:rFonts w:hint="eastAsia" w:ascii="仿宋_GB2312" w:hAnsi="仿宋_GB2312" w:eastAsia="仿宋_GB2312" w:cs="仿宋_GB2312"/>
                <w:bCs/>
                <w:snapToGrid w:val="0"/>
                <w:color w:val="auto"/>
                <w:kern w:val="0"/>
                <w:szCs w:val="21"/>
                <w:highlight w:val="none"/>
                <w:lang w:bidi="ar"/>
                <w14:ligatures w14:val="standardContextual"/>
              </w:rPr>
              <w:t xml:space="preserve">□混合所有制 </w:t>
            </w:r>
            <w:r>
              <w:rPr>
                <w:rFonts w:hint="eastAsia" w:ascii="仿宋_GB2312" w:hAnsi="仿宋_GB2312" w:eastAsia="仿宋_GB2312" w:cs="仿宋_GB2312"/>
                <w:bCs/>
                <w:color w:val="auto"/>
                <w:kern w:val="0"/>
                <w:szCs w:val="21"/>
                <w:highlight w:val="none"/>
                <w:lang w:bidi="ar"/>
                <w14:ligatures w14:val="standardContextual"/>
              </w:rPr>
              <w:t xml:space="preserve">   </w:t>
            </w:r>
            <w:r>
              <w:rPr>
                <w:rFonts w:hint="eastAsia" w:ascii="仿宋_GB2312" w:hAnsi="仿宋_GB2312" w:eastAsia="仿宋_GB2312" w:cs="仿宋_GB2312"/>
                <w:bCs/>
                <w:snapToGrid w:val="0"/>
                <w:color w:val="auto"/>
                <w:kern w:val="0"/>
                <w:szCs w:val="21"/>
                <w:highlight w:val="none"/>
                <w:lang w:bidi="ar"/>
                <w14:ligatures w14:val="standardContextual"/>
              </w:rPr>
              <w:t>□其他</w:t>
            </w:r>
          </w:p>
        </w:tc>
      </w:tr>
      <w:tr w14:paraId="5904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CFB8A">
            <w:pPr>
              <w:widowControl/>
              <w:tabs>
                <w:tab w:val="right" w:leader="dot" w:pos="8296"/>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企业规模</w:t>
            </w:r>
          </w:p>
        </w:tc>
        <w:tc>
          <w:tcPr>
            <w:tcW w:w="6400" w:type="dxa"/>
            <w:gridSpan w:val="3"/>
            <w:tcBorders>
              <w:top w:val="single" w:color="auto" w:sz="4" w:space="0"/>
              <w:left w:val="nil"/>
              <w:bottom w:val="single" w:color="auto" w:sz="4" w:space="0"/>
              <w:right w:val="single" w:color="auto" w:sz="4" w:space="0"/>
            </w:tcBorders>
            <w:shd w:val="clear" w:color="auto" w:fill="auto"/>
            <w:vAlign w:val="center"/>
          </w:tcPr>
          <w:p w14:paraId="6D638542">
            <w:pPr>
              <w:widowControl/>
              <w:tabs>
                <w:tab w:val="left" w:pos="420"/>
              </w:tabs>
              <w:kinsoku w:val="0"/>
              <w:autoSpaceDE w:val="0"/>
              <w:autoSpaceDN w:val="0"/>
              <w:adjustRightInd w:val="0"/>
              <w:snapToGrid w:val="0"/>
              <w:jc w:val="center"/>
              <w:textAlignment w:val="baseline"/>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snapToGrid w:val="0"/>
                <w:color w:val="auto"/>
                <w:kern w:val="0"/>
                <w:szCs w:val="21"/>
                <w:highlight w:val="none"/>
                <w:lang w:bidi="ar"/>
                <w14:ligatures w14:val="standardContextual"/>
              </w:rPr>
              <w:t>□中型企业</w:t>
            </w:r>
            <w:r>
              <w:rPr>
                <w:rFonts w:hint="eastAsia" w:ascii="仿宋_GB2312" w:hAnsi="仿宋_GB2312" w:eastAsia="仿宋_GB2312" w:cs="仿宋_GB2312"/>
                <w:bCs/>
                <w:color w:val="auto"/>
                <w:kern w:val="0"/>
                <w:szCs w:val="21"/>
                <w:highlight w:val="none"/>
                <w:lang w:bidi="ar"/>
                <w14:ligatures w14:val="standardContextual"/>
              </w:rPr>
              <w:t xml:space="preserve">    </w:t>
            </w:r>
            <w:r>
              <w:rPr>
                <w:rFonts w:hint="eastAsia" w:ascii="仿宋_GB2312" w:hAnsi="仿宋_GB2312" w:eastAsia="仿宋_GB2312" w:cs="仿宋_GB2312"/>
                <w:bCs/>
                <w:snapToGrid w:val="0"/>
                <w:color w:val="auto"/>
                <w:kern w:val="0"/>
                <w:szCs w:val="21"/>
                <w:highlight w:val="none"/>
                <w:lang w:bidi="ar"/>
                <w14:ligatures w14:val="standardContextual"/>
              </w:rPr>
              <w:t>□小型企业</w:t>
            </w:r>
            <w:r>
              <w:rPr>
                <w:rFonts w:hint="eastAsia" w:ascii="仿宋_GB2312" w:hAnsi="仿宋_GB2312" w:eastAsia="仿宋_GB2312" w:cs="仿宋_GB2312"/>
                <w:bCs/>
                <w:color w:val="auto"/>
                <w:kern w:val="0"/>
                <w:szCs w:val="21"/>
                <w:highlight w:val="none"/>
                <w:lang w:bidi="ar"/>
                <w14:ligatures w14:val="standardContextual"/>
              </w:rPr>
              <w:t xml:space="preserve">    </w:t>
            </w:r>
            <w:r>
              <w:rPr>
                <w:rFonts w:hint="eastAsia" w:ascii="仿宋_GB2312" w:hAnsi="仿宋_GB2312" w:eastAsia="仿宋_GB2312" w:cs="仿宋_GB2312"/>
                <w:bCs/>
                <w:snapToGrid w:val="0"/>
                <w:color w:val="auto"/>
                <w:kern w:val="0"/>
                <w:szCs w:val="21"/>
                <w:highlight w:val="none"/>
                <w:lang w:bidi="ar"/>
                <w14:ligatures w14:val="standardContextual"/>
              </w:rPr>
              <w:t>□微型企业</w:t>
            </w:r>
          </w:p>
          <w:p w14:paraId="18A64078">
            <w:pPr>
              <w:pStyle w:val="3"/>
              <w:widowControl/>
              <w:tabs>
                <w:tab w:val="right" w:leader="dot" w:pos="8296"/>
                <w:tab w:val="clear" w:pos="420"/>
              </w:tabs>
              <w:adjustRightInd w:val="0"/>
              <w:snapToGrid w:val="0"/>
              <w:spacing w:after="0" w:line="240" w:lineRule="auto"/>
              <w:ind w:firstLine="0" w:firstLineChars="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 w:val="21"/>
                <w:szCs w:val="21"/>
                <w:highlight w:val="none"/>
              </w:rPr>
              <w:t>（中小企业规模类型自测：</w:t>
            </w:r>
            <w:r>
              <w:rPr>
                <w:color w:val="auto"/>
                <w:highlight w:val="none"/>
              </w:rPr>
              <w:fldChar w:fldCharType="begin"/>
            </w:r>
            <w:r>
              <w:rPr>
                <w:color w:val="auto"/>
                <w:highlight w:val="none"/>
              </w:rPr>
              <w:instrText xml:space="preserve"> HYPERLINK "https://baosong.miit.gov.cn/ScaleTest" </w:instrText>
            </w:r>
            <w:r>
              <w:rPr>
                <w:color w:val="auto"/>
                <w:highlight w:val="none"/>
              </w:rPr>
              <w:fldChar w:fldCharType="separate"/>
            </w:r>
            <w:r>
              <w:rPr>
                <w:rStyle w:val="13"/>
                <w:rFonts w:hint="eastAsia" w:ascii="仿宋_GB2312" w:hAnsi="仿宋_GB2312" w:eastAsia="仿宋_GB2312" w:cs="仿宋_GB2312"/>
                <w:color w:val="auto"/>
                <w:sz w:val="21"/>
                <w:szCs w:val="21"/>
                <w:highlight w:val="none"/>
              </w:rPr>
              <w:t>https://baosong.miit.gov.cn/ScaleTest</w:t>
            </w:r>
            <w:r>
              <w:rPr>
                <w:rStyle w:val="13"/>
                <w:rFonts w:hint="eastAsia" w:ascii="仿宋_GB2312" w:hAnsi="仿宋_GB2312" w:eastAsia="仿宋_GB2312" w:cs="仿宋_GB2312"/>
                <w:color w:val="auto"/>
                <w:sz w:val="21"/>
                <w:szCs w:val="21"/>
                <w:highlight w:val="none"/>
              </w:rPr>
              <w:fldChar w:fldCharType="end"/>
            </w:r>
            <w:r>
              <w:rPr>
                <w:rFonts w:hint="eastAsia" w:ascii="仿宋_GB2312" w:hAnsi="仿宋_GB2312" w:eastAsia="仿宋_GB2312" w:cs="仿宋_GB2312"/>
                <w:color w:val="auto"/>
                <w:sz w:val="21"/>
                <w:szCs w:val="21"/>
                <w:highlight w:val="none"/>
              </w:rPr>
              <w:t>）</w:t>
            </w:r>
          </w:p>
        </w:tc>
      </w:tr>
      <w:tr w14:paraId="3F26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6C750">
            <w:pPr>
              <w:rPr>
                <w:rFonts w:ascii="Times New Roman" w:hAnsi="Times New Roman" w:cs="Times New Roman"/>
                <w:color w:val="auto"/>
                <w:sz w:val="20"/>
                <w:szCs w:val="20"/>
                <w:highlight w:val="none"/>
              </w:rPr>
            </w:pPr>
          </w:p>
        </w:tc>
        <w:tc>
          <w:tcPr>
            <w:tcW w:w="6400" w:type="dxa"/>
            <w:gridSpan w:val="3"/>
            <w:tcBorders>
              <w:top w:val="single" w:color="auto" w:sz="4" w:space="0"/>
              <w:left w:val="nil"/>
              <w:bottom w:val="single" w:color="auto" w:sz="4" w:space="0"/>
              <w:right w:val="single" w:color="auto" w:sz="4" w:space="0"/>
            </w:tcBorders>
            <w:shd w:val="clear" w:color="auto" w:fill="auto"/>
            <w:vAlign w:val="center"/>
          </w:tcPr>
          <w:p w14:paraId="016DE475">
            <w:pPr>
              <w:widowControl/>
              <w:tabs>
                <w:tab w:val="left" w:pos="420"/>
              </w:tabs>
              <w:kinsoku w:val="0"/>
              <w:autoSpaceDE w:val="0"/>
              <w:autoSpaceDN w:val="0"/>
              <w:adjustRightInd w:val="0"/>
              <w:snapToGrid w:val="0"/>
              <w:jc w:val="center"/>
              <w:textAlignment w:val="baseline"/>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snapToGrid w:val="0"/>
                <w:color w:val="auto"/>
                <w:kern w:val="0"/>
                <w:szCs w:val="21"/>
                <w:highlight w:val="none"/>
                <w:lang w:bidi="ar"/>
                <w14:ligatures w14:val="standardContextual"/>
              </w:rPr>
              <w:t>□规模以上企业</w:t>
            </w:r>
            <w:r>
              <w:rPr>
                <w:rFonts w:hint="eastAsia" w:ascii="仿宋_GB2312" w:hAnsi="仿宋_GB2312" w:eastAsia="仿宋_GB2312" w:cs="仿宋_GB2312"/>
                <w:bCs/>
                <w:color w:val="auto"/>
                <w:kern w:val="0"/>
                <w:szCs w:val="21"/>
                <w:highlight w:val="none"/>
                <w:lang w:bidi="ar"/>
                <w14:ligatures w14:val="standardContextual"/>
              </w:rPr>
              <w:t xml:space="preserve">          </w:t>
            </w:r>
            <w:r>
              <w:rPr>
                <w:rFonts w:hint="eastAsia" w:ascii="仿宋_GB2312" w:hAnsi="仿宋_GB2312" w:eastAsia="仿宋_GB2312" w:cs="仿宋_GB2312"/>
                <w:bCs/>
                <w:snapToGrid w:val="0"/>
                <w:color w:val="auto"/>
                <w:kern w:val="0"/>
                <w:szCs w:val="21"/>
                <w:highlight w:val="none"/>
                <w:lang w:bidi="ar"/>
                <w14:ligatures w14:val="standardContextual"/>
              </w:rPr>
              <w:t>□规模以下企业</w:t>
            </w:r>
          </w:p>
        </w:tc>
      </w:tr>
      <w:tr w14:paraId="7B2E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550BE1BF">
            <w:pPr>
              <w:widowControl/>
              <w:tabs>
                <w:tab w:val="right" w:leader="dot" w:pos="8296"/>
              </w:tabs>
              <w:kinsoku w:val="0"/>
              <w:autoSpaceDE w:val="0"/>
              <w:autoSpaceDN w:val="0"/>
              <w:spacing w:line="560" w:lineRule="exact"/>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优质中小企业情况</w:t>
            </w:r>
          </w:p>
        </w:tc>
        <w:tc>
          <w:tcPr>
            <w:tcW w:w="6400" w:type="dxa"/>
            <w:gridSpan w:val="3"/>
            <w:tcBorders>
              <w:top w:val="single" w:color="auto" w:sz="4" w:space="0"/>
              <w:left w:val="nil"/>
              <w:bottom w:val="single" w:color="auto" w:sz="4" w:space="0"/>
              <w:right w:val="single" w:color="auto" w:sz="4" w:space="0"/>
            </w:tcBorders>
            <w:shd w:val="clear" w:color="auto" w:fill="auto"/>
            <w:vAlign w:val="center"/>
          </w:tcPr>
          <w:p w14:paraId="381908CD">
            <w:pPr>
              <w:tabs>
                <w:tab w:val="right" w:leader="dot" w:pos="8296"/>
              </w:tabs>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snapToGrid w:val="0"/>
                <w:color w:val="auto"/>
                <w:kern w:val="0"/>
                <w:szCs w:val="21"/>
                <w:highlight w:val="none"/>
                <w:lang w:bidi="ar"/>
                <w14:ligatures w14:val="standardContextual"/>
              </w:rPr>
              <w:t>□</w:t>
            </w:r>
            <w:r>
              <w:rPr>
                <w:rFonts w:hint="eastAsia" w:ascii="仿宋_GB2312" w:hAnsi="仿宋_GB2312" w:eastAsia="仿宋_GB2312" w:cs="仿宋_GB2312"/>
                <w:color w:val="auto"/>
                <w:szCs w:val="21"/>
                <w:highlight w:val="none"/>
                <w:lang w:bidi="ar"/>
                <w14:ligatures w14:val="standardContextual"/>
              </w:rPr>
              <w:t>无</w:t>
            </w:r>
          </w:p>
          <w:p w14:paraId="259650C1">
            <w:pPr>
              <w:tabs>
                <w:tab w:val="right" w:leader="dot" w:pos="8296"/>
              </w:tabs>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snapToGrid w:val="0"/>
                <w:color w:val="auto"/>
                <w:kern w:val="0"/>
                <w:szCs w:val="21"/>
                <w:highlight w:val="none"/>
                <w:lang w:bidi="ar"/>
                <w14:ligatures w14:val="standardContextual"/>
              </w:rPr>
              <w:t>□</w:t>
            </w:r>
            <w:r>
              <w:rPr>
                <w:rFonts w:hint="eastAsia" w:ascii="仿宋_GB2312" w:hAnsi="仿宋_GB2312" w:eastAsia="仿宋_GB2312" w:cs="仿宋_GB2312"/>
                <w:color w:val="auto"/>
                <w:szCs w:val="21"/>
                <w:highlight w:val="none"/>
                <w:lang w:bidi="ar"/>
                <w14:ligatures w14:val="standardContextual"/>
              </w:rPr>
              <w:t>创新型中小企业</w:t>
            </w:r>
          </w:p>
          <w:p w14:paraId="00010995">
            <w:pPr>
              <w:tabs>
                <w:tab w:val="right" w:leader="dot" w:pos="8296"/>
              </w:tabs>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snapToGrid w:val="0"/>
                <w:color w:val="auto"/>
                <w:kern w:val="0"/>
                <w:szCs w:val="21"/>
                <w:highlight w:val="none"/>
                <w:lang w:bidi="ar"/>
                <w14:ligatures w14:val="standardContextual"/>
              </w:rPr>
              <w:t>□</w:t>
            </w:r>
            <w:r>
              <w:rPr>
                <w:rFonts w:hint="eastAsia" w:ascii="仿宋_GB2312" w:hAnsi="仿宋_GB2312" w:eastAsia="仿宋_GB2312" w:cs="仿宋_GB2312"/>
                <w:color w:val="auto"/>
                <w:szCs w:val="21"/>
                <w:highlight w:val="none"/>
                <w:lang w:bidi="ar"/>
                <w14:ligatures w14:val="standardContextual"/>
              </w:rPr>
              <w:t xml:space="preserve">专精特新中小企业              </w:t>
            </w:r>
          </w:p>
          <w:p w14:paraId="189D6E82">
            <w:pPr>
              <w:tabs>
                <w:tab w:val="right" w:leader="dot" w:pos="8296"/>
              </w:tabs>
              <w:adjustRightInd w:val="0"/>
              <w:snapToGrid w:val="0"/>
              <w:jc w:val="left"/>
              <w:rPr>
                <w:rFonts w:ascii="仿宋_GB2312" w:hAnsi="仿宋_GB2312" w:eastAsia="仿宋_GB2312" w:cs="仿宋_GB2312"/>
                <w:bCs/>
                <w:snapToGrid w:val="0"/>
                <w:color w:val="auto"/>
                <w:kern w:val="0"/>
                <w:szCs w:val="21"/>
                <w:highlight w:val="none"/>
              </w:rPr>
            </w:pPr>
            <w:r>
              <w:rPr>
                <w:rFonts w:hint="eastAsia" w:ascii="仿宋_GB2312" w:hAnsi="仿宋_GB2312" w:eastAsia="仿宋_GB2312" w:cs="仿宋_GB2312"/>
                <w:bCs/>
                <w:snapToGrid w:val="0"/>
                <w:color w:val="auto"/>
                <w:kern w:val="0"/>
                <w:szCs w:val="21"/>
                <w:highlight w:val="none"/>
                <w:lang w:bidi="ar"/>
                <w14:ligatures w14:val="standardContextual"/>
              </w:rPr>
              <w:t>□</w:t>
            </w:r>
            <w:r>
              <w:rPr>
                <w:rFonts w:hint="eastAsia" w:ascii="仿宋_GB2312" w:hAnsi="仿宋_GB2312" w:eastAsia="仿宋_GB2312" w:cs="仿宋_GB2312"/>
                <w:color w:val="auto"/>
                <w:szCs w:val="21"/>
                <w:highlight w:val="none"/>
                <w:lang w:bidi="ar"/>
                <w14:ligatures w14:val="standardContextual"/>
              </w:rPr>
              <w:t xml:space="preserve">专精特新“小巨人”企业            </w:t>
            </w:r>
          </w:p>
        </w:tc>
      </w:tr>
      <w:tr w14:paraId="2634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6208570F">
            <w:pPr>
              <w:widowControl/>
              <w:tabs>
                <w:tab w:val="right" w:leader="dot" w:pos="8296"/>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所属细分行业</w:t>
            </w:r>
          </w:p>
        </w:tc>
        <w:tc>
          <w:tcPr>
            <w:tcW w:w="6400" w:type="dxa"/>
            <w:gridSpan w:val="3"/>
            <w:tcBorders>
              <w:top w:val="single" w:color="auto" w:sz="4" w:space="0"/>
              <w:left w:val="nil"/>
              <w:bottom w:val="single" w:color="auto" w:sz="4" w:space="0"/>
              <w:right w:val="single" w:color="auto" w:sz="4" w:space="0"/>
            </w:tcBorders>
            <w:shd w:val="clear" w:color="auto" w:fill="auto"/>
            <w:vAlign w:val="center"/>
          </w:tcPr>
          <w:p w14:paraId="572EE9D4">
            <w:pPr>
              <w:pStyle w:val="3"/>
              <w:widowControl/>
              <w:tabs>
                <w:tab w:val="right" w:leader="dot" w:pos="8296"/>
                <w:tab w:val="clear" w:pos="420"/>
              </w:tabs>
              <w:adjustRightInd w:val="0"/>
              <w:snapToGrid w:val="0"/>
              <w:spacing w:after="0" w:line="560" w:lineRule="exact"/>
              <w:ind w:firstLine="0" w:firstLineChars="0"/>
              <w:rPr>
                <w:rFonts w:ascii="仿宋_GB2312" w:hAnsi="仿宋_GB2312" w:eastAsia="仿宋_GB2312" w:cs="仿宋_GB2312"/>
                <w:color w:val="auto"/>
                <w:highlight w:val="none"/>
              </w:rPr>
            </w:pPr>
          </w:p>
        </w:tc>
      </w:tr>
      <w:tr w14:paraId="6AFB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47EAA5B9">
            <w:pPr>
              <w:widowControl/>
              <w:tabs>
                <w:tab w:val="left" w:pos="420"/>
              </w:tabs>
              <w:kinsoku w:val="0"/>
              <w:autoSpaceDE w:val="0"/>
              <w:autoSpaceDN w:val="0"/>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eastAsia="zh-CN" w:bidi="ar"/>
                <w14:ligatures w14:val="standardContextual"/>
              </w:rPr>
              <w:t>上年度</w:t>
            </w:r>
            <w:r>
              <w:rPr>
                <w:rFonts w:hint="eastAsia" w:ascii="仿宋_GB2312" w:hAnsi="仿宋_GB2312" w:eastAsia="仿宋_GB2312" w:cs="仿宋_GB2312"/>
                <w:b/>
                <w:snapToGrid w:val="0"/>
                <w:color w:val="auto"/>
                <w:kern w:val="0"/>
                <w:szCs w:val="21"/>
                <w:highlight w:val="none"/>
                <w:lang w:bidi="ar"/>
                <w14:ligatures w14:val="standardContextual"/>
              </w:rPr>
              <w:t>营业收入</w:t>
            </w:r>
          </w:p>
          <w:p w14:paraId="18FCA730">
            <w:pPr>
              <w:widowControl/>
              <w:tabs>
                <w:tab w:val="left" w:pos="420"/>
              </w:tabs>
              <w:kinsoku w:val="0"/>
              <w:autoSpaceDE w:val="0"/>
              <w:autoSpaceDN w:val="0"/>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（万元）</w:t>
            </w:r>
          </w:p>
        </w:tc>
        <w:tc>
          <w:tcPr>
            <w:tcW w:w="6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3119E8">
            <w:pPr>
              <w:widowControl/>
              <w:tabs>
                <w:tab w:val="left" w:pos="420"/>
              </w:tabs>
              <w:kinsoku w:val="0"/>
              <w:autoSpaceDE w:val="0"/>
              <w:autoSpaceDN w:val="0"/>
              <w:spacing w:line="560" w:lineRule="exact"/>
              <w:jc w:val="center"/>
              <w:textAlignment w:val="baseline"/>
              <w:rPr>
                <w:rFonts w:hint="eastAsia" w:ascii="仿宋_GB2312" w:hAnsi="仿宋_GB2312" w:eastAsia="仿宋_GB2312" w:cs="仿宋_GB2312"/>
                <w:bCs/>
                <w:snapToGrid w:val="0"/>
                <w:color w:val="auto"/>
                <w:kern w:val="0"/>
                <w:szCs w:val="21"/>
                <w:highlight w:val="none"/>
                <w:lang w:val="en-US" w:eastAsia="zh-CN"/>
              </w:rPr>
            </w:pPr>
          </w:p>
        </w:tc>
      </w:tr>
      <w:tr w14:paraId="3E36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7AC78A94">
            <w:pPr>
              <w:widowControl/>
              <w:tabs>
                <w:tab w:val="left" w:pos="420"/>
              </w:tabs>
              <w:kinsoku w:val="0"/>
              <w:autoSpaceDE w:val="0"/>
              <w:autoSpaceDN w:val="0"/>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eastAsia="zh-CN" w:bidi="ar"/>
                <w14:ligatures w14:val="standardContextual"/>
              </w:rPr>
              <w:t>上年度</w:t>
            </w:r>
            <w:r>
              <w:rPr>
                <w:rFonts w:hint="eastAsia" w:ascii="仿宋_GB2312" w:hAnsi="仿宋_GB2312" w:eastAsia="仿宋_GB2312" w:cs="仿宋_GB2312"/>
                <w:b/>
                <w:snapToGrid w:val="0"/>
                <w:color w:val="auto"/>
                <w:kern w:val="0"/>
                <w:szCs w:val="21"/>
                <w:highlight w:val="none"/>
                <w:lang w:bidi="ar"/>
                <w14:ligatures w14:val="standardContextual"/>
              </w:rPr>
              <w:t>利润</w:t>
            </w:r>
          </w:p>
          <w:p w14:paraId="4C8A2FC4">
            <w:pPr>
              <w:widowControl/>
              <w:tabs>
                <w:tab w:val="left" w:pos="420"/>
              </w:tabs>
              <w:kinsoku w:val="0"/>
              <w:autoSpaceDE w:val="0"/>
              <w:autoSpaceDN w:val="0"/>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（万元）</w:t>
            </w:r>
          </w:p>
        </w:tc>
        <w:tc>
          <w:tcPr>
            <w:tcW w:w="6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540987">
            <w:pPr>
              <w:widowControl/>
              <w:tabs>
                <w:tab w:val="left" w:pos="420"/>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p>
        </w:tc>
      </w:tr>
      <w:tr w14:paraId="7E8A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7DD7F47E">
            <w:pPr>
              <w:widowControl/>
              <w:tabs>
                <w:tab w:val="right" w:leader="dot" w:pos="8296"/>
              </w:tabs>
              <w:kinsoku w:val="0"/>
              <w:autoSpaceDE w:val="0"/>
              <w:autoSpaceDN w:val="0"/>
              <w:jc w:val="center"/>
              <w:textAlignment w:val="baseline"/>
              <w:rPr>
                <w:color w:val="auto"/>
                <w:highlight w:val="none"/>
              </w:rPr>
            </w:pPr>
            <w:r>
              <w:rPr>
                <w:rFonts w:hint="eastAsia" w:ascii="仿宋_GB2312" w:hAnsi="仿宋_GB2312" w:eastAsia="仿宋_GB2312" w:cs="仿宋_GB2312"/>
                <w:b/>
                <w:snapToGrid w:val="0"/>
                <w:color w:val="auto"/>
                <w:kern w:val="0"/>
                <w:szCs w:val="21"/>
                <w:highlight w:val="none"/>
                <w:lang w:eastAsia="zh-CN" w:bidi="ar"/>
                <w14:ligatures w14:val="standardContextual"/>
              </w:rPr>
              <w:t>上年度</w:t>
            </w:r>
            <w:r>
              <w:rPr>
                <w:rFonts w:hint="eastAsia" w:ascii="仿宋_GB2312" w:hAnsi="仿宋_GB2312" w:eastAsia="仿宋_GB2312" w:cs="仿宋_GB2312"/>
                <w:b/>
                <w:snapToGrid w:val="0"/>
                <w:color w:val="auto"/>
                <w:kern w:val="0"/>
                <w:szCs w:val="21"/>
                <w:highlight w:val="none"/>
                <w:lang w:bidi="ar"/>
                <w14:ligatures w14:val="standardContextual"/>
              </w:rPr>
              <w:t>人均营业收入（万元）</w:t>
            </w:r>
          </w:p>
        </w:tc>
        <w:tc>
          <w:tcPr>
            <w:tcW w:w="6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936FB0">
            <w:pPr>
              <w:widowControl/>
              <w:tabs>
                <w:tab w:val="left" w:pos="420"/>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p>
        </w:tc>
      </w:tr>
      <w:tr w14:paraId="34F2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2A15280B">
            <w:pPr>
              <w:widowControl/>
              <w:tabs>
                <w:tab w:val="left" w:pos="420"/>
              </w:tabs>
              <w:kinsoku w:val="0"/>
              <w:autoSpaceDE w:val="0"/>
              <w:autoSpaceDN w:val="0"/>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已有数字化转型投入</w:t>
            </w:r>
          </w:p>
          <w:p w14:paraId="6D0E19F8">
            <w:pPr>
              <w:widowControl/>
              <w:tabs>
                <w:tab w:val="left" w:pos="420"/>
              </w:tabs>
              <w:kinsoku w:val="0"/>
              <w:autoSpaceDE w:val="0"/>
              <w:autoSpaceDN w:val="0"/>
              <w:jc w:val="center"/>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（万元）</w:t>
            </w:r>
          </w:p>
        </w:tc>
        <w:tc>
          <w:tcPr>
            <w:tcW w:w="6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E33248">
            <w:pPr>
              <w:widowControl/>
              <w:tabs>
                <w:tab w:val="left" w:pos="420"/>
              </w:tabs>
              <w:kinsoku w:val="0"/>
              <w:autoSpaceDE w:val="0"/>
              <w:autoSpaceDN w:val="0"/>
              <w:spacing w:line="560" w:lineRule="exact"/>
              <w:jc w:val="center"/>
              <w:textAlignment w:val="baseline"/>
              <w:rPr>
                <w:rFonts w:ascii="仿宋_GB2312" w:hAnsi="仿宋_GB2312" w:eastAsia="仿宋_GB2312" w:cs="仿宋_GB2312"/>
                <w:bCs/>
                <w:snapToGrid w:val="0"/>
                <w:color w:val="auto"/>
                <w:kern w:val="0"/>
                <w:szCs w:val="21"/>
                <w:highlight w:val="none"/>
              </w:rPr>
            </w:pPr>
          </w:p>
        </w:tc>
      </w:tr>
    </w:tbl>
    <w:p w14:paraId="5E133300">
      <w:pPr>
        <w:tabs>
          <w:tab w:val="left" w:pos="420"/>
        </w:tabs>
        <w:ind w:firstLine="640"/>
        <w:jc w:val="center"/>
        <w:rPr>
          <w:rFonts w:eastAsia="黑体" w:cs="Times New Roman"/>
          <w:color w:val="auto"/>
          <w:spacing w:val="6"/>
          <w:position w:val="2"/>
          <w:sz w:val="24"/>
          <w:szCs w:val="24"/>
          <w:highlight w:val="none"/>
        </w:rPr>
      </w:pPr>
    </w:p>
    <w:p w14:paraId="65977ED9">
      <w:pPr>
        <w:tabs>
          <w:tab w:val="left" w:pos="420"/>
        </w:tabs>
        <w:rPr>
          <w:rFonts w:eastAsia="黑体" w:cs="Times New Roman"/>
          <w:bCs/>
          <w:color w:val="auto"/>
          <w:sz w:val="32"/>
          <w:szCs w:val="32"/>
          <w:highlight w:val="none"/>
        </w:rPr>
      </w:pPr>
      <w:bookmarkStart w:id="43" w:name="_Toc2852"/>
      <w:bookmarkStart w:id="44" w:name="_Toc8168"/>
      <w:bookmarkStart w:id="45" w:name="_Toc19111"/>
      <w:bookmarkStart w:id="46" w:name="_Toc24918"/>
      <w:bookmarkStart w:id="47" w:name="_Toc14912"/>
      <w:bookmarkStart w:id="48" w:name="_Toc20683"/>
      <w:bookmarkStart w:id="49" w:name="_Toc7020"/>
      <w:bookmarkStart w:id="50" w:name="_Toc16920"/>
      <w:bookmarkStart w:id="51" w:name="_Toc28993"/>
      <w:bookmarkStart w:id="52" w:name="_Toc14872"/>
      <w:bookmarkStart w:id="53" w:name="_Toc11310"/>
      <w:bookmarkStart w:id="54" w:name="_Toc14308"/>
      <w:bookmarkStart w:id="55" w:name="_Toc23470"/>
      <w:r>
        <w:rPr>
          <w:rFonts w:hint="eastAsia" w:ascii="Calibri" w:hAnsi="Calibri" w:eastAsia="黑体" w:cs="Times New Roman"/>
          <w:bCs/>
          <w:color w:val="auto"/>
          <w:sz w:val="32"/>
          <w:szCs w:val="32"/>
          <w:highlight w:val="none"/>
          <w:lang w:bidi="ar"/>
          <w14:ligatures w14:val="standardContextual"/>
        </w:rPr>
        <w:t>三、企业数字化水平诊断分析</w:t>
      </w:r>
      <w:bookmarkEnd w:id="43"/>
      <w:bookmarkEnd w:id="44"/>
      <w:bookmarkEnd w:id="45"/>
      <w:bookmarkEnd w:id="46"/>
      <w:bookmarkEnd w:id="47"/>
      <w:bookmarkEnd w:id="48"/>
      <w:bookmarkEnd w:id="49"/>
      <w:bookmarkEnd w:id="50"/>
      <w:bookmarkEnd w:id="51"/>
      <w:bookmarkEnd w:id="52"/>
      <w:bookmarkEnd w:id="53"/>
      <w:bookmarkEnd w:id="54"/>
      <w:bookmarkEnd w:id="55"/>
    </w:p>
    <w:p w14:paraId="15CEAAC0">
      <w:pPr>
        <w:numPr>
          <w:ilvl w:val="0"/>
          <w:numId w:val="0"/>
        </w:numPr>
        <w:tabs>
          <w:tab w:val="left" w:pos="420"/>
        </w:tabs>
        <w:ind w:firstLine="643" w:firstLineChars="200"/>
        <w:rPr>
          <w:rFonts w:hint="eastAsia" w:ascii="仿宋_GB2312" w:hAnsi="仿宋_GB2312" w:eastAsia="仿宋_GB2312" w:cs="仿宋_GB2312"/>
          <w:b/>
          <w:bCs/>
          <w:color w:val="auto"/>
          <w:sz w:val="32"/>
          <w:szCs w:val="32"/>
          <w:highlight w:val="none"/>
          <w:lang w:bidi="ar"/>
          <w14:ligatures w14:val="standardContextual"/>
        </w:rPr>
      </w:pPr>
      <w:bookmarkStart w:id="56" w:name="_Toc7321"/>
      <w:bookmarkStart w:id="57" w:name="_Toc15339"/>
      <w:bookmarkStart w:id="58" w:name="_Toc12450"/>
      <w:bookmarkStart w:id="59" w:name="_Toc11357"/>
      <w:bookmarkStart w:id="60" w:name="_Toc17594"/>
      <w:bookmarkStart w:id="61" w:name="_Toc4595"/>
      <w:bookmarkStart w:id="62" w:name="_Toc1802"/>
      <w:bookmarkStart w:id="63" w:name="_Toc4030"/>
      <w:r>
        <w:rPr>
          <w:rFonts w:hint="eastAsia" w:ascii="仿宋_GB2312" w:hAnsi="仿宋_GB2312" w:eastAsia="仿宋_GB2312" w:cs="仿宋_GB2312"/>
          <w:b/>
          <w:bCs/>
          <w:color w:val="auto"/>
          <w:sz w:val="32"/>
          <w:szCs w:val="32"/>
          <w:highlight w:val="none"/>
          <w:lang w:bidi="ar"/>
          <w14:ligatures w14:val="standardContextual"/>
        </w:rPr>
        <w:t>（一）诊断结果分析</w:t>
      </w:r>
      <w:bookmarkEnd w:id="56"/>
      <w:bookmarkEnd w:id="57"/>
      <w:bookmarkEnd w:id="58"/>
      <w:bookmarkEnd w:id="59"/>
      <w:bookmarkEnd w:id="60"/>
      <w:bookmarkEnd w:id="61"/>
      <w:bookmarkEnd w:id="62"/>
      <w:bookmarkEnd w:id="63"/>
    </w:p>
    <w:p w14:paraId="2B43BCB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w:t>
      </w:r>
      <w:r>
        <w:rPr>
          <w:rFonts w:hint="eastAsia" w:ascii="仿宋_GB2312" w:hAnsi="仿宋_GB2312" w:eastAsia="仿宋_GB2312" w:cs="仿宋_GB2312"/>
          <w:sz w:val="32"/>
          <w:szCs w:val="32"/>
          <w:lang w:eastAsia="zh-CN"/>
        </w:rPr>
        <w:t>业和信息化</w:t>
      </w:r>
      <w:r>
        <w:rPr>
          <w:rFonts w:hint="eastAsia" w:ascii="仿宋_GB2312" w:hAnsi="仿宋_GB2312" w:eastAsia="仿宋_GB2312" w:cs="仿宋_GB2312"/>
          <w:sz w:val="32"/>
          <w:szCs w:val="32"/>
        </w:rPr>
        <w:t>部发布的《制造业中小企业数字化水平评测表（2022年版）》，须完成表3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制造业中小企业数字化水平评测表（2022年版）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确定企业数字化水平等级</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业和信息化</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发布了新的</w:t>
      </w:r>
      <w:r>
        <w:rPr>
          <w:rFonts w:hint="eastAsia" w:ascii="仿宋_GB2312" w:hAnsi="仿宋_GB2312" w:eastAsia="仿宋_GB2312" w:cs="仿宋_GB2312"/>
          <w:sz w:val="32"/>
          <w:szCs w:val="32"/>
        </w:rPr>
        <w:t>数字化水平评测</w:t>
      </w:r>
      <w:r>
        <w:rPr>
          <w:rFonts w:hint="eastAsia" w:ascii="仿宋_GB2312" w:hAnsi="仿宋_GB2312" w:eastAsia="仿宋_GB2312" w:cs="仿宋_GB2312"/>
          <w:sz w:val="32"/>
          <w:szCs w:val="32"/>
          <w:lang w:eastAsia="zh-CN"/>
        </w:rPr>
        <w:t>表，则按最新的评测表执行）</w:t>
      </w:r>
      <w:r>
        <w:rPr>
          <w:rFonts w:hint="eastAsia" w:ascii="仿宋_GB2312" w:hAnsi="仿宋_GB2312" w:eastAsia="仿宋_GB2312" w:cs="仿宋_GB2312"/>
          <w:sz w:val="32"/>
          <w:szCs w:val="32"/>
        </w:rPr>
        <w:t>。</w:t>
      </w:r>
    </w:p>
    <w:p w14:paraId="6A83C4F3">
      <w:pPr>
        <w:tabs>
          <w:tab w:val="left" w:pos="420"/>
        </w:tabs>
        <w:jc w:val="center"/>
        <w:rPr>
          <w:rFonts w:eastAsia="黑体" w:cs="Times New Roman"/>
          <w:color w:val="auto"/>
          <w:spacing w:val="6"/>
          <w:position w:val="2"/>
          <w:sz w:val="24"/>
          <w:szCs w:val="24"/>
          <w:highlight w:val="none"/>
        </w:rPr>
      </w:pPr>
      <w:r>
        <w:rPr>
          <w:rFonts w:hint="eastAsia" w:ascii="Calibri" w:hAnsi="Calibri" w:eastAsia="黑体" w:cs="Times New Roman"/>
          <w:color w:val="auto"/>
          <w:spacing w:val="6"/>
          <w:position w:val="2"/>
          <w:sz w:val="24"/>
          <w:szCs w:val="24"/>
          <w:highlight w:val="none"/>
          <w:lang w:bidi="ar"/>
          <w14:ligatures w14:val="standardContextual"/>
        </w:rPr>
        <w:t>表</w:t>
      </w:r>
      <w:r>
        <w:rPr>
          <w:rFonts w:ascii="Calibri" w:hAnsi="Calibri" w:eastAsia="黑体" w:cs="Times New Roman"/>
          <w:color w:val="auto"/>
          <w:spacing w:val="6"/>
          <w:position w:val="2"/>
          <w:sz w:val="24"/>
          <w:szCs w:val="24"/>
          <w:highlight w:val="none"/>
          <w:lang w:bidi="ar"/>
          <w14:ligatures w14:val="standardContextual"/>
        </w:rPr>
        <w:t xml:space="preserve">3 </w:t>
      </w:r>
      <w:r>
        <w:rPr>
          <w:rFonts w:hint="eastAsia" w:ascii="Calibri" w:hAnsi="Calibri" w:eastAsia="黑体" w:cs="Times New Roman"/>
          <w:color w:val="auto"/>
          <w:spacing w:val="6"/>
          <w:position w:val="2"/>
          <w:sz w:val="24"/>
          <w:szCs w:val="24"/>
          <w:highlight w:val="none"/>
          <w:lang w:bidi="ar"/>
          <w14:ligatures w14:val="standardContextual"/>
        </w:rPr>
        <w:t>制造业中小企业数字化水平评测表（</w:t>
      </w:r>
      <w:r>
        <w:rPr>
          <w:rFonts w:ascii="Calibri" w:hAnsi="Calibri" w:eastAsia="黑体" w:cs="Times New Roman"/>
          <w:color w:val="auto"/>
          <w:spacing w:val="6"/>
          <w:position w:val="2"/>
          <w:sz w:val="24"/>
          <w:szCs w:val="24"/>
          <w:highlight w:val="none"/>
          <w:lang w:bidi="ar"/>
          <w14:ligatures w14:val="standardContextual"/>
        </w:rPr>
        <w:t>2022</w:t>
      </w:r>
      <w:r>
        <w:rPr>
          <w:rFonts w:hint="eastAsia" w:ascii="Calibri" w:hAnsi="Calibri" w:eastAsia="黑体" w:cs="Times New Roman"/>
          <w:color w:val="auto"/>
          <w:spacing w:val="6"/>
          <w:position w:val="2"/>
          <w:sz w:val="24"/>
          <w:szCs w:val="24"/>
          <w:highlight w:val="none"/>
          <w:lang w:bidi="ar"/>
          <w14:ligatures w14:val="standardContextual"/>
        </w:rPr>
        <w:t>年版）</w:t>
      </w:r>
    </w:p>
    <w:tbl>
      <w:tblPr>
        <w:tblStyle w:val="9"/>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6"/>
        <w:gridCol w:w="781"/>
        <w:gridCol w:w="3249"/>
        <w:gridCol w:w="668"/>
        <w:gridCol w:w="2104"/>
      </w:tblGrid>
      <w:tr w14:paraId="288E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8588A5E">
            <w:pPr>
              <w:pStyle w:val="16"/>
              <w:widowControl/>
              <w:spacing w:line="240" w:lineRule="auto"/>
              <w:jc w:val="center"/>
              <w:rPr>
                <w:rFonts w:eastAsia="仿宋_GB2312"/>
                <w:b/>
                <w:bCs/>
                <w:color w:val="auto"/>
                <w:sz w:val="22"/>
                <w:highlight w:val="none"/>
              </w:rPr>
            </w:pPr>
            <w:r>
              <w:rPr>
                <w:rFonts w:hint="eastAsia" w:eastAsia="仿宋_GB2312"/>
                <w:b/>
                <w:bCs/>
                <w:color w:val="auto"/>
                <w:sz w:val="22"/>
                <w:highlight w:val="none"/>
              </w:rPr>
              <w:t>一级指标及权重</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DA96D26">
            <w:pPr>
              <w:pStyle w:val="16"/>
              <w:widowControl/>
              <w:spacing w:line="240" w:lineRule="auto"/>
              <w:jc w:val="center"/>
              <w:rPr>
                <w:rFonts w:eastAsia="仿宋_GB2312"/>
                <w:b/>
                <w:bCs/>
                <w:color w:val="auto"/>
                <w:sz w:val="22"/>
                <w:highlight w:val="none"/>
              </w:rPr>
            </w:pPr>
            <w:r>
              <w:rPr>
                <w:rFonts w:hint="eastAsia" w:eastAsia="仿宋_GB2312"/>
                <w:b/>
                <w:bCs/>
                <w:color w:val="auto"/>
                <w:sz w:val="22"/>
                <w:highlight w:val="none"/>
              </w:rPr>
              <w:t>二级指标及权重</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7400D90A">
            <w:pPr>
              <w:pStyle w:val="16"/>
              <w:widowControl/>
              <w:spacing w:line="240" w:lineRule="auto"/>
              <w:jc w:val="center"/>
              <w:rPr>
                <w:rFonts w:eastAsia="仿宋_GB2312"/>
                <w:b/>
                <w:bCs/>
                <w:color w:val="auto"/>
                <w:sz w:val="22"/>
                <w:highlight w:val="none"/>
              </w:rPr>
            </w:pPr>
            <w:r>
              <w:rPr>
                <w:rFonts w:hint="eastAsia" w:eastAsia="仿宋_GB2312"/>
                <w:b/>
                <w:bCs/>
                <w:color w:val="auto"/>
                <w:sz w:val="22"/>
                <w:highlight w:val="none"/>
              </w:rPr>
              <w:t>序号</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19E1BBA0">
            <w:pPr>
              <w:pStyle w:val="16"/>
              <w:widowControl/>
              <w:spacing w:line="240" w:lineRule="auto"/>
              <w:jc w:val="center"/>
              <w:rPr>
                <w:rFonts w:eastAsia="仿宋_GB2312"/>
                <w:b/>
                <w:bCs/>
                <w:color w:val="auto"/>
                <w:sz w:val="22"/>
                <w:highlight w:val="none"/>
              </w:rPr>
            </w:pPr>
            <w:r>
              <w:rPr>
                <w:rFonts w:hint="eastAsia" w:eastAsia="仿宋_GB2312"/>
                <w:b/>
                <w:bCs/>
                <w:color w:val="auto"/>
                <w:sz w:val="22"/>
                <w:highlight w:val="none"/>
              </w:rPr>
              <w:t>问卷填写</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52338D7">
            <w:pPr>
              <w:pStyle w:val="16"/>
              <w:widowControl/>
              <w:spacing w:line="240" w:lineRule="auto"/>
              <w:jc w:val="center"/>
              <w:rPr>
                <w:rFonts w:eastAsia="仿宋_GB2312"/>
                <w:b/>
                <w:bCs/>
                <w:color w:val="auto"/>
                <w:sz w:val="22"/>
                <w:highlight w:val="none"/>
              </w:rPr>
            </w:pPr>
            <w:r>
              <w:rPr>
                <w:rFonts w:hint="eastAsia" w:eastAsia="仿宋_GB2312"/>
                <w:b/>
                <w:bCs/>
                <w:color w:val="auto"/>
                <w:sz w:val="22"/>
                <w:highlight w:val="none"/>
              </w:rPr>
              <w:t>得分</w:t>
            </w: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3467189C">
            <w:pPr>
              <w:pStyle w:val="16"/>
              <w:widowControl/>
              <w:spacing w:line="240" w:lineRule="auto"/>
              <w:jc w:val="center"/>
              <w:rPr>
                <w:rFonts w:eastAsia="仿宋_GB2312"/>
                <w:b/>
                <w:bCs/>
                <w:color w:val="auto"/>
                <w:sz w:val="22"/>
                <w:highlight w:val="none"/>
              </w:rPr>
            </w:pPr>
            <w:r>
              <w:rPr>
                <w:rFonts w:hint="eastAsia" w:eastAsia="仿宋_GB2312"/>
                <w:b/>
                <w:bCs/>
                <w:color w:val="auto"/>
                <w:sz w:val="22"/>
                <w:highlight w:val="none"/>
              </w:rPr>
              <w:t>得分说明</w:t>
            </w:r>
          </w:p>
        </w:tc>
      </w:tr>
      <w:tr w14:paraId="065F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0BF800">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一、</w:t>
            </w:r>
          </w:p>
          <w:p w14:paraId="148D95E3">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数字化基础</w:t>
            </w:r>
          </w:p>
          <w:p w14:paraId="7373A1B0">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25%</w:t>
            </w:r>
            <w:r>
              <w:rPr>
                <w:rFonts w:hint="eastAsia" w:eastAsia="仿宋_GB2312"/>
                <w:color w:val="auto"/>
                <w:sz w:val="22"/>
                <w:highlight w:val="none"/>
              </w:rPr>
              <w:t>）</w:t>
            </w:r>
          </w:p>
        </w:tc>
        <w:tc>
          <w:tcPr>
            <w:tcW w:w="8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429046">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设备</w:t>
            </w:r>
          </w:p>
          <w:p w14:paraId="0946E674">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系统</w:t>
            </w:r>
          </w:p>
          <w:p w14:paraId="1DA628EA">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40%</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48CE076F">
            <w:pPr>
              <w:pStyle w:val="16"/>
              <w:widowControl/>
              <w:spacing w:line="240" w:lineRule="auto"/>
              <w:jc w:val="center"/>
              <w:rPr>
                <w:rFonts w:eastAsia="仿宋_GB2312"/>
                <w:color w:val="auto"/>
                <w:sz w:val="22"/>
                <w:highlight w:val="none"/>
              </w:rPr>
            </w:pPr>
            <w:r>
              <w:rPr>
                <w:rFonts w:eastAsia="仿宋_GB2312"/>
                <w:color w:val="auto"/>
                <w:sz w:val="22"/>
                <w:highlight w:val="none"/>
              </w:rPr>
              <w:t>1</w:t>
            </w:r>
          </w:p>
          <w:p w14:paraId="74A6D497">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6A7E71EF">
            <w:pPr>
              <w:pStyle w:val="16"/>
              <w:widowControl/>
              <w:spacing w:line="240" w:lineRule="auto"/>
              <w:rPr>
                <w:rFonts w:eastAsia="仿宋_GB2312"/>
                <w:color w:val="auto"/>
                <w:sz w:val="22"/>
                <w:highlight w:val="none"/>
              </w:rPr>
            </w:pPr>
            <w:r>
              <w:rPr>
                <w:rFonts w:hint="eastAsia" w:eastAsia="仿宋_GB2312"/>
                <w:color w:val="auto"/>
                <w:sz w:val="22"/>
                <w:highlight w:val="none"/>
              </w:rPr>
              <w:t>企业的数字化设备覆盖范围</w:t>
            </w:r>
          </w:p>
          <w:p w14:paraId="543F8929">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单个业务环节</w:t>
            </w:r>
            <w:r>
              <w:rPr>
                <w:rFonts w:eastAsia="仿宋_GB2312"/>
                <w:color w:val="auto"/>
                <w:sz w:val="22"/>
                <w:highlight w:val="none"/>
              </w:rPr>
              <w:t xml:space="preserve"> </w:t>
            </w:r>
          </w:p>
          <w:p w14:paraId="59104D81">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关键业务环节</w:t>
            </w:r>
            <w:r>
              <w:rPr>
                <w:rFonts w:eastAsia="仿宋_GB2312"/>
                <w:color w:val="auto"/>
                <w:sz w:val="22"/>
                <w:highlight w:val="none"/>
              </w:rPr>
              <w:t xml:space="preserve"> </w:t>
            </w:r>
          </w:p>
          <w:p w14:paraId="71BE9FE2">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绝大部分业务环节</w:t>
            </w:r>
            <w:r>
              <w:rPr>
                <w:rFonts w:eastAsia="仿宋_GB2312"/>
                <w:color w:val="auto"/>
                <w:sz w:val="22"/>
                <w:highlight w:val="none"/>
              </w:rPr>
              <w:t xml:space="preserve"> </w:t>
            </w:r>
          </w:p>
          <w:p w14:paraId="49C601F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全覆盖</w:t>
            </w:r>
          </w:p>
          <w:p w14:paraId="3A9FB85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6163C6A">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530E23E2">
            <w:pPr>
              <w:pStyle w:val="16"/>
              <w:widowControl/>
              <w:spacing w:line="240" w:lineRule="auto"/>
              <w:rPr>
                <w:rFonts w:eastAsia="仿宋_GB2312"/>
                <w:color w:val="auto"/>
                <w:sz w:val="22"/>
                <w:highlight w:val="none"/>
              </w:rPr>
            </w:pPr>
          </w:p>
        </w:tc>
      </w:tr>
      <w:tr w14:paraId="2558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0A9FE">
            <w:pPr>
              <w:rPr>
                <w:rFonts w:ascii="Times New Roman" w:hAnsi="Times New Roman" w:cs="Times New Roman"/>
                <w:color w:val="auto"/>
                <w:sz w:val="20"/>
                <w:szCs w:val="20"/>
                <w:highlight w:val="none"/>
              </w:rPr>
            </w:pP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274EC">
            <w:pPr>
              <w:rPr>
                <w:rFonts w:ascii="Times New Roman" w:hAnsi="Times New Roman" w:cs="Times New Roman"/>
                <w:color w:val="auto"/>
                <w:sz w:val="20"/>
                <w:szCs w:val="20"/>
                <w:highlight w:val="none"/>
              </w:rPr>
            </w:pPr>
          </w:p>
        </w:tc>
        <w:tc>
          <w:tcPr>
            <w:tcW w:w="781" w:type="dxa"/>
            <w:tcBorders>
              <w:top w:val="nil"/>
              <w:left w:val="single" w:color="auto" w:sz="4" w:space="0"/>
              <w:bottom w:val="single" w:color="auto" w:sz="4" w:space="0"/>
              <w:right w:val="single" w:color="auto" w:sz="4" w:space="0"/>
            </w:tcBorders>
            <w:shd w:val="clear" w:color="auto" w:fill="auto"/>
            <w:vAlign w:val="center"/>
          </w:tcPr>
          <w:p w14:paraId="4CD53A17">
            <w:pPr>
              <w:pStyle w:val="16"/>
              <w:widowControl/>
              <w:spacing w:line="240" w:lineRule="auto"/>
              <w:jc w:val="center"/>
              <w:rPr>
                <w:rFonts w:eastAsia="仿宋_GB2312"/>
                <w:color w:val="auto"/>
                <w:sz w:val="22"/>
                <w:highlight w:val="none"/>
              </w:rPr>
            </w:pPr>
            <w:r>
              <w:rPr>
                <w:rFonts w:eastAsia="仿宋_GB2312"/>
                <w:color w:val="auto"/>
                <w:sz w:val="22"/>
                <w:highlight w:val="none"/>
              </w:rPr>
              <w:t>2</w:t>
            </w:r>
          </w:p>
          <w:p w14:paraId="06B2E39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30%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71441A7E">
            <w:pPr>
              <w:pStyle w:val="16"/>
              <w:widowControl/>
              <w:spacing w:line="240" w:lineRule="auto"/>
              <w:rPr>
                <w:rFonts w:eastAsia="仿宋_GB2312"/>
                <w:color w:val="auto"/>
                <w:sz w:val="22"/>
                <w:highlight w:val="none"/>
              </w:rPr>
            </w:pPr>
            <w:r>
              <w:rPr>
                <w:rFonts w:hint="eastAsia" w:eastAsia="仿宋_GB2312"/>
                <w:color w:val="auto"/>
                <w:sz w:val="22"/>
                <w:highlight w:val="none"/>
              </w:rPr>
              <w:t>企业的数字化设备联网率</w:t>
            </w:r>
          </w:p>
          <w:p w14:paraId="1E6C2138">
            <w:pPr>
              <w:pStyle w:val="16"/>
              <w:widowControl/>
              <w:spacing w:line="240" w:lineRule="auto"/>
              <w:rPr>
                <w:rFonts w:eastAsia="仿宋_GB2312"/>
                <w:color w:val="auto"/>
                <w:sz w:val="22"/>
                <w:highlight w:val="none"/>
              </w:rPr>
            </w:pPr>
            <w:r>
              <w:rPr>
                <w:rFonts w:eastAsia="仿宋_GB2312"/>
                <w:color w:val="auto"/>
                <w:sz w:val="22"/>
                <w:highlight w:val="none"/>
              </w:rPr>
              <w:t xml:space="preserve">□[0-10%] </w:t>
            </w:r>
          </w:p>
          <w:p w14:paraId="51D955A2">
            <w:pPr>
              <w:pStyle w:val="16"/>
              <w:widowControl/>
              <w:spacing w:line="240" w:lineRule="auto"/>
              <w:rPr>
                <w:rFonts w:eastAsia="仿宋_GB2312"/>
                <w:color w:val="auto"/>
                <w:sz w:val="22"/>
                <w:highlight w:val="none"/>
              </w:rPr>
            </w:pPr>
            <w:r>
              <w:rPr>
                <w:rFonts w:eastAsia="仿宋_GB2312"/>
                <w:color w:val="auto"/>
                <w:sz w:val="22"/>
                <w:highlight w:val="none"/>
              </w:rPr>
              <w:t xml:space="preserve">□(10%,20%] </w:t>
            </w:r>
          </w:p>
          <w:p w14:paraId="3D562AB8">
            <w:pPr>
              <w:pStyle w:val="16"/>
              <w:widowControl/>
              <w:spacing w:line="240" w:lineRule="auto"/>
              <w:rPr>
                <w:rFonts w:eastAsia="仿宋_GB2312"/>
                <w:color w:val="auto"/>
                <w:sz w:val="22"/>
                <w:highlight w:val="none"/>
              </w:rPr>
            </w:pPr>
            <w:r>
              <w:rPr>
                <w:rFonts w:eastAsia="仿宋_GB2312"/>
                <w:color w:val="auto"/>
                <w:sz w:val="22"/>
                <w:highlight w:val="none"/>
              </w:rPr>
              <w:t xml:space="preserve">□(20%,30%] </w:t>
            </w:r>
          </w:p>
          <w:p w14:paraId="117777B9">
            <w:pPr>
              <w:pStyle w:val="16"/>
              <w:widowControl/>
              <w:spacing w:line="240" w:lineRule="auto"/>
              <w:rPr>
                <w:rFonts w:eastAsia="仿宋_GB2312"/>
                <w:color w:val="auto"/>
                <w:sz w:val="22"/>
                <w:highlight w:val="none"/>
              </w:rPr>
            </w:pPr>
            <w:r>
              <w:rPr>
                <w:rFonts w:eastAsia="仿宋_GB2312"/>
                <w:color w:val="auto"/>
                <w:sz w:val="22"/>
                <w:highlight w:val="none"/>
              </w:rPr>
              <w:t xml:space="preserve">□(30%,40%] </w:t>
            </w:r>
          </w:p>
          <w:p w14:paraId="12BB2BCE">
            <w:pPr>
              <w:pStyle w:val="16"/>
              <w:widowControl/>
              <w:spacing w:line="240" w:lineRule="auto"/>
              <w:rPr>
                <w:rFonts w:eastAsia="仿宋_GB2312"/>
                <w:color w:val="auto"/>
                <w:sz w:val="22"/>
                <w:highlight w:val="none"/>
              </w:rPr>
            </w:pPr>
            <w:r>
              <w:rPr>
                <w:rFonts w:eastAsia="仿宋_GB2312"/>
                <w:color w:val="auto"/>
                <w:sz w:val="22"/>
                <w:highlight w:val="none"/>
              </w:rPr>
              <w:t>□40%</w:t>
            </w:r>
            <w:r>
              <w:rPr>
                <w:rFonts w:hint="eastAsia" w:eastAsia="仿宋_GB2312"/>
                <w:color w:val="auto"/>
                <w:sz w:val="22"/>
                <w:highlight w:val="none"/>
              </w:rPr>
              <w:t>以上</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0B13338C">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377321E0">
            <w:pPr>
              <w:pStyle w:val="16"/>
              <w:widowControl/>
              <w:spacing w:line="240" w:lineRule="auto"/>
              <w:rPr>
                <w:rFonts w:eastAsia="仿宋_GB2312"/>
                <w:color w:val="auto"/>
                <w:sz w:val="22"/>
                <w:highlight w:val="none"/>
              </w:rPr>
            </w:pPr>
          </w:p>
        </w:tc>
      </w:tr>
      <w:tr w14:paraId="0608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7B971">
            <w:pPr>
              <w:rPr>
                <w:rFonts w:ascii="Times New Roman" w:hAnsi="Times New Roman" w:cs="Times New Roman"/>
                <w:color w:val="auto"/>
                <w:sz w:val="20"/>
                <w:szCs w:val="20"/>
                <w:highlight w:val="none"/>
              </w:rPr>
            </w:pP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3C0E3">
            <w:pPr>
              <w:rPr>
                <w:rFonts w:ascii="Times New Roman" w:hAnsi="Times New Roman" w:cs="Times New Roman"/>
                <w:color w:val="auto"/>
                <w:sz w:val="20"/>
                <w:szCs w:val="20"/>
                <w:highlight w:val="none"/>
              </w:rPr>
            </w:pPr>
          </w:p>
        </w:tc>
        <w:tc>
          <w:tcPr>
            <w:tcW w:w="781" w:type="dxa"/>
            <w:tcBorders>
              <w:top w:val="nil"/>
              <w:left w:val="single" w:color="auto" w:sz="4" w:space="0"/>
              <w:bottom w:val="single" w:color="auto" w:sz="4" w:space="0"/>
              <w:right w:val="single" w:color="auto" w:sz="4" w:space="0"/>
            </w:tcBorders>
            <w:shd w:val="clear" w:color="auto" w:fill="auto"/>
            <w:vAlign w:val="center"/>
          </w:tcPr>
          <w:p w14:paraId="3D43DD51">
            <w:pPr>
              <w:pStyle w:val="16"/>
              <w:widowControl/>
              <w:spacing w:line="240" w:lineRule="auto"/>
              <w:jc w:val="center"/>
              <w:rPr>
                <w:rFonts w:eastAsia="仿宋_GB2312"/>
                <w:color w:val="auto"/>
                <w:sz w:val="22"/>
                <w:highlight w:val="none"/>
              </w:rPr>
            </w:pPr>
            <w:r>
              <w:rPr>
                <w:rFonts w:eastAsia="仿宋_GB2312"/>
                <w:color w:val="auto"/>
                <w:sz w:val="22"/>
                <w:highlight w:val="none"/>
              </w:rPr>
              <w:t>3</w:t>
            </w:r>
          </w:p>
          <w:p w14:paraId="4F3764A8">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30%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04F05587">
            <w:pPr>
              <w:pStyle w:val="16"/>
              <w:widowControl/>
              <w:spacing w:line="240" w:lineRule="auto"/>
              <w:rPr>
                <w:rFonts w:eastAsia="仿宋_GB2312"/>
                <w:color w:val="auto"/>
                <w:sz w:val="22"/>
                <w:highlight w:val="none"/>
              </w:rPr>
            </w:pPr>
            <w:r>
              <w:rPr>
                <w:rFonts w:hint="eastAsia" w:eastAsia="仿宋_GB2312"/>
                <w:color w:val="auto"/>
                <w:sz w:val="22"/>
                <w:highlight w:val="none"/>
              </w:rPr>
              <w:t>企业的关键工序数控化率</w:t>
            </w:r>
          </w:p>
          <w:p w14:paraId="70408457">
            <w:pPr>
              <w:pStyle w:val="16"/>
              <w:widowControl/>
              <w:spacing w:line="240" w:lineRule="auto"/>
              <w:rPr>
                <w:rFonts w:eastAsia="仿宋_GB2312"/>
                <w:color w:val="auto"/>
                <w:sz w:val="22"/>
                <w:highlight w:val="none"/>
              </w:rPr>
            </w:pPr>
            <w:r>
              <w:rPr>
                <w:rFonts w:eastAsia="仿宋_GB2312"/>
                <w:color w:val="auto"/>
                <w:sz w:val="22"/>
                <w:highlight w:val="none"/>
              </w:rPr>
              <w:t xml:space="preserve">□[0-30%] </w:t>
            </w:r>
          </w:p>
          <w:p w14:paraId="44E5E6AB">
            <w:pPr>
              <w:pStyle w:val="16"/>
              <w:widowControl/>
              <w:spacing w:line="240" w:lineRule="auto"/>
              <w:rPr>
                <w:rFonts w:eastAsia="仿宋_GB2312"/>
                <w:color w:val="auto"/>
                <w:sz w:val="22"/>
                <w:highlight w:val="none"/>
              </w:rPr>
            </w:pPr>
            <w:r>
              <w:rPr>
                <w:rFonts w:eastAsia="仿宋_GB2312"/>
                <w:color w:val="auto"/>
                <w:sz w:val="22"/>
                <w:highlight w:val="none"/>
              </w:rPr>
              <w:t xml:space="preserve">□(30%,45%] </w:t>
            </w:r>
          </w:p>
          <w:p w14:paraId="335554C9">
            <w:pPr>
              <w:pStyle w:val="16"/>
              <w:widowControl/>
              <w:spacing w:line="240" w:lineRule="auto"/>
              <w:rPr>
                <w:rFonts w:eastAsia="仿宋_GB2312"/>
                <w:color w:val="auto"/>
                <w:sz w:val="22"/>
                <w:highlight w:val="none"/>
              </w:rPr>
            </w:pPr>
            <w:r>
              <w:rPr>
                <w:rFonts w:eastAsia="仿宋_GB2312"/>
                <w:color w:val="auto"/>
                <w:sz w:val="22"/>
                <w:highlight w:val="none"/>
              </w:rPr>
              <w:t xml:space="preserve">□(45%,60%] </w:t>
            </w:r>
          </w:p>
          <w:p w14:paraId="3E03C436">
            <w:pPr>
              <w:pStyle w:val="16"/>
              <w:widowControl/>
              <w:spacing w:line="240" w:lineRule="auto"/>
              <w:rPr>
                <w:rFonts w:eastAsia="仿宋_GB2312"/>
                <w:color w:val="auto"/>
                <w:sz w:val="22"/>
                <w:highlight w:val="none"/>
              </w:rPr>
            </w:pPr>
            <w:r>
              <w:rPr>
                <w:rFonts w:eastAsia="仿宋_GB2312"/>
                <w:color w:val="auto"/>
                <w:sz w:val="22"/>
                <w:highlight w:val="none"/>
              </w:rPr>
              <w:t>□60%</w:t>
            </w:r>
            <w:r>
              <w:rPr>
                <w:rFonts w:hint="eastAsia" w:eastAsia="仿宋_GB2312"/>
                <w:color w:val="auto"/>
                <w:sz w:val="22"/>
                <w:highlight w:val="none"/>
              </w:rPr>
              <w:t>以上</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90145BD">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2DA56D4E">
            <w:pPr>
              <w:pStyle w:val="16"/>
              <w:widowControl/>
              <w:spacing w:line="240" w:lineRule="auto"/>
              <w:rPr>
                <w:rFonts w:eastAsia="仿宋_GB2312"/>
                <w:color w:val="auto"/>
                <w:sz w:val="22"/>
                <w:highlight w:val="none"/>
              </w:rPr>
            </w:pPr>
          </w:p>
        </w:tc>
      </w:tr>
      <w:tr w14:paraId="277E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281EF">
            <w:pPr>
              <w:rPr>
                <w:rFonts w:ascii="Times New Roman" w:hAnsi="Times New Roman" w:cs="Times New Roman"/>
                <w:color w:val="auto"/>
                <w:sz w:val="20"/>
                <w:szCs w:val="20"/>
                <w:highlight w:val="none"/>
              </w:rPr>
            </w:pP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8384B">
            <w:pPr>
              <w:rPr>
                <w:rFonts w:ascii="Times New Roman" w:hAnsi="Times New Roman" w:cs="Times New Roman"/>
                <w:color w:val="auto"/>
                <w:sz w:val="20"/>
                <w:szCs w:val="20"/>
                <w:highlight w:val="none"/>
              </w:rPr>
            </w:pPr>
          </w:p>
        </w:tc>
        <w:tc>
          <w:tcPr>
            <w:tcW w:w="781" w:type="dxa"/>
            <w:tcBorders>
              <w:top w:val="nil"/>
              <w:left w:val="single" w:color="auto" w:sz="4" w:space="0"/>
              <w:bottom w:val="single" w:color="auto" w:sz="4" w:space="0"/>
              <w:right w:val="single" w:color="auto" w:sz="4" w:space="0"/>
            </w:tcBorders>
            <w:shd w:val="clear" w:color="auto" w:fill="auto"/>
            <w:vAlign w:val="center"/>
          </w:tcPr>
          <w:p w14:paraId="04ED14AE">
            <w:pPr>
              <w:pStyle w:val="16"/>
              <w:widowControl/>
              <w:spacing w:line="240" w:lineRule="auto"/>
              <w:jc w:val="center"/>
              <w:rPr>
                <w:rFonts w:eastAsia="仿宋_GB2312"/>
                <w:color w:val="auto"/>
                <w:sz w:val="22"/>
                <w:highlight w:val="none"/>
              </w:rPr>
            </w:pPr>
            <w:r>
              <w:rPr>
                <w:rFonts w:eastAsia="仿宋_GB2312"/>
                <w:color w:val="auto"/>
                <w:sz w:val="22"/>
                <w:highlight w:val="none"/>
              </w:rPr>
              <w:t>4</w:t>
            </w:r>
          </w:p>
          <w:p w14:paraId="7CA14BD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5C51896C">
            <w:pPr>
              <w:pStyle w:val="16"/>
              <w:widowControl/>
              <w:spacing w:line="240" w:lineRule="auto"/>
              <w:rPr>
                <w:rFonts w:eastAsia="仿宋_GB2312"/>
                <w:color w:val="auto"/>
                <w:sz w:val="22"/>
                <w:highlight w:val="none"/>
              </w:rPr>
            </w:pPr>
            <w:r>
              <w:rPr>
                <w:rFonts w:hint="eastAsia" w:eastAsia="仿宋_GB2312"/>
                <w:color w:val="auto"/>
                <w:sz w:val="22"/>
                <w:highlight w:val="none"/>
              </w:rPr>
              <w:t>企业通过部署工业互联网公有云</w:t>
            </w:r>
            <w:r>
              <w:rPr>
                <w:rFonts w:eastAsia="仿宋_GB2312"/>
                <w:color w:val="auto"/>
                <w:sz w:val="22"/>
                <w:highlight w:val="none"/>
              </w:rPr>
              <w:t>/</w:t>
            </w:r>
            <w:r>
              <w:rPr>
                <w:rFonts w:hint="eastAsia" w:eastAsia="仿宋_GB2312"/>
                <w:color w:val="auto"/>
                <w:sz w:val="22"/>
                <w:highlight w:val="none"/>
              </w:rPr>
              <w:t>私有云</w:t>
            </w:r>
            <w:r>
              <w:rPr>
                <w:rFonts w:eastAsia="仿宋_GB2312"/>
                <w:color w:val="auto"/>
                <w:sz w:val="22"/>
                <w:highlight w:val="none"/>
              </w:rPr>
              <w:t>/</w:t>
            </w:r>
            <w:r>
              <w:rPr>
                <w:rFonts w:hint="eastAsia" w:eastAsia="仿宋_GB2312"/>
                <w:color w:val="auto"/>
                <w:sz w:val="22"/>
                <w:highlight w:val="none"/>
              </w:rPr>
              <w:t>混合云平台等形式，实现业务的数字化管理情况</w:t>
            </w:r>
            <w:r>
              <w:rPr>
                <w:rFonts w:eastAsia="仿宋_GB2312"/>
                <w:color w:val="auto"/>
                <w:sz w:val="22"/>
                <w:highlight w:val="none"/>
              </w:rPr>
              <w:t xml:space="preserve"> </w:t>
            </w:r>
          </w:p>
          <w:p w14:paraId="4CEAB90C">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单个业务环节</w:t>
            </w:r>
          </w:p>
          <w:p w14:paraId="182D7693">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关键业务环节</w:t>
            </w:r>
            <w:r>
              <w:rPr>
                <w:rFonts w:eastAsia="仿宋_GB2312"/>
                <w:color w:val="auto"/>
                <w:sz w:val="22"/>
                <w:highlight w:val="none"/>
              </w:rPr>
              <w:t xml:space="preserve"> </w:t>
            </w:r>
          </w:p>
          <w:p w14:paraId="6BAF5BE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绝大部分业务环节</w:t>
            </w:r>
            <w:r>
              <w:rPr>
                <w:rFonts w:eastAsia="仿宋_GB2312"/>
                <w:color w:val="auto"/>
                <w:sz w:val="22"/>
                <w:highlight w:val="none"/>
              </w:rPr>
              <w:t xml:space="preserve"> </w:t>
            </w:r>
          </w:p>
          <w:p w14:paraId="7426E3F8">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全覆盖</w:t>
            </w:r>
          </w:p>
          <w:p w14:paraId="757BB43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061E167">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738E2334">
            <w:pPr>
              <w:pStyle w:val="16"/>
              <w:widowControl/>
              <w:spacing w:line="240" w:lineRule="auto"/>
              <w:rPr>
                <w:rFonts w:eastAsia="仿宋_GB2312"/>
                <w:color w:val="auto"/>
                <w:sz w:val="22"/>
                <w:highlight w:val="none"/>
              </w:rPr>
            </w:pPr>
          </w:p>
        </w:tc>
      </w:tr>
      <w:tr w14:paraId="3F2C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0D0F6">
            <w:pPr>
              <w:rPr>
                <w:rFonts w:ascii="Times New Roman" w:hAnsi="Times New Roman" w:cs="Times New Roman"/>
                <w:color w:val="auto"/>
                <w:sz w:val="20"/>
                <w:szCs w:val="20"/>
                <w:highlight w:val="none"/>
              </w:rPr>
            </w:pPr>
          </w:p>
        </w:tc>
        <w:tc>
          <w:tcPr>
            <w:tcW w:w="8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C5B727">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数据</w:t>
            </w:r>
          </w:p>
          <w:p w14:paraId="6AD5308C">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资源</w:t>
            </w:r>
          </w:p>
          <w:p w14:paraId="1B6B69FE">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30%</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436DFF96">
            <w:pPr>
              <w:pStyle w:val="16"/>
              <w:widowControl/>
              <w:spacing w:line="240" w:lineRule="auto"/>
              <w:jc w:val="center"/>
              <w:rPr>
                <w:rFonts w:eastAsia="仿宋_GB2312"/>
                <w:color w:val="auto"/>
                <w:sz w:val="22"/>
                <w:highlight w:val="none"/>
              </w:rPr>
            </w:pPr>
            <w:r>
              <w:rPr>
                <w:rFonts w:eastAsia="仿宋_GB2312"/>
                <w:color w:val="auto"/>
                <w:sz w:val="22"/>
                <w:highlight w:val="none"/>
              </w:rPr>
              <w:t>5</w:t>
            </w:r>
          </w:p>
          <w:p w14:paraId="077BFE2F">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60%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3EBA4385">
            <w:pPr>
              <w:pStyle w:val="16"/>
              <w:widowControl/>
              <w:spacing w:line="240" w:lineRule="auto"/>
              <w:rPr>
                <w:rFonts w:eastAsia="仿宋_GB2312"/>
                <w:color w:val="auto"/>
                <w:sz w:val="22"/>
                <w:highlight w:val="none"/>
              </w:rPr>
            </w:pPr>
            <w:r>
              <w:rPr>
                <w:rFonts w:hint="eastAsia" w:eastAsia="仿宋_GB2312"/>
                <w:color w:val="auto"/>
                <w:sz w:val="22"/>
                <w:highlight w:val="none"/>
              </w:rPr>
              <w:t>企业实现数据自动</w:t>
            </w:r>
            <w:r>
              <w:rPr>
                <w:rFonts w:eastAsia="仿宋_GB2312"/>
                <w:color w:val="auto"/>
                <w:sz w:val="22"/>
                <w:highlight w:val="none"/>
              </w:rPr>
              <w:t>/</w:t>
            </w:r>
            <w:r>
              <w:rPr>
                <w:rFonts w:hint="eastAsia" w:eastAsia="仿宋_GB2312"/>
                <w:color w:val="auto"/>
                <w:sz w:val="22"/>
                <w:highlight w:val="none"/>
              </w:rPr>
              <w:t>半自动获取并展示的业务环节覆盖范围</w:t>
            </w:r>
          </w:p>
          <w:p w14:paraId="25DFD5AC">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研发设计</w:t>
            </w:r>
            <w:r>
              <w:rPr>
                <w:rFonts w:eastAsia="仿宋_GB2312"/>
                <w:color w:val="auto"/>
                <w:sz w:val="22"/>
                <w:highlight w:val="none"/>
              </w:rPr>
              <w:t xml:space="preserve"> □</w:t>
            </w:r>
            <w:r>
              <w:rPr>
                <w:rFonts w:hint="eastAsia" w:eastAsia="仿宋_GB2312"/>
                <w:color w:val="auto"/>
                <w:sz w:val="22"/>
                <w:highlight w:val="none"/>
              </w:rPr>
              <w:t>生产管控</w:t>
            </w:r>
            <w:r>
              <w:rPr>
                <w:rFonts w:eastAsia="仿宋_GB2312"/>
                <w:color w:val="auto"/>
                <w:sz w:val="22"/>
                <w:highlight w:val="none"/>
              </w:rPr>
              <w:t xml:space="preserve"> □</w:t>
            </w:r>
            <w:r>
              <w:rPr>
                <w:rFonts w:hint="eastAsia" w:eastAsia="仿宋_GB2312"/>
                <w:color w:val="auto"/>
                <w:sz w:val="22"/>
                <w:highlight w:val="none"/>
              </w:rPr>
              <w:t>质量控制</w:t>
            </w:r>
            <w:r>
              <w:rPr>
                <w:rFonts w:eastAsia="仿宋_GB2312"/>
                <w:color w:val="auto"/>
                <w:sz w:val="22"/>
                <w:highlight w:val="none"/>
              </w:rPr>
              <w:t xml:space="preserve"> □</w:t>
            </w:r>
            <w:r>
              <w:rPr>
                <w:rFonts w:hint="eastAsia" w:eastAsia="仿宋_GB2312"/>
                <w:color w:val="auto"/>
                <w:sz w:val="22"/>
                <w:highlight w:val="none"/>
              </w:rPr>
              <w:t>仓储配送（厂内）</w:t>
            </w:r>
            <w:r>
              <w:rPr>
                <w:rFonts w:eastAsia="仿宋_GB2312"/>
                <w:color w:val="auto"/>
                <w:sz w:val="22"/>
                <w:highlight w:val="none"/>
              </w:rPr>
              <w:t xml:space="preserve"> □</w:t>
            </w:r>
            <w:r>
              <w:rPr>
                <w:rFonts w:hint="eastAsia" w:eastAsia="仿宋_GB2312"/>
                <w:color w:val="auto"/>
                <w:sz w:val="22"/>
                <w:highlight w:val="none"/>
              </w:rPr>
              <w:t>设备管理</w:t>
            </w:r>
            <w:r>
              <w:rPr>
                <w:rFonts w:eastAsia="仿宋_GB2312"/>
                <w:color w:val="auto"/>
                <w:sz w:val="22"/>
                <w:highlight w:val="none"/>
              </w:rPr>
              <w:t xml:space="preserve"> □</w:t>
            </w:r>
            <w:r>
              <w:rPr>
                <w:rFonts w:hint="eastAsia" w:eastAsia="仿宋_GB2312"/>
                <w:color w:val="auto"/>
                <w:sz w:val="22"/>
                <w:highlight w:val="none"/>
              </w:rPr>
              <w:t>采购</w:t>
            </w:r>
            <w:r>
              <w:rPr>
                <w:rFonts w:eastAsia="仿宋_GB2312"/>
                <w:color w:val="auto"/>
                <w:sz w:val="22"/>
                <w:highlight w:val="none"/>
              </w:rPr>
              <w:t xml:space="preserve"> □</w:t>
            </w:r>
            <w:r>
              <w:rPr>
                <w:rFonts w:hint="eastAsia" w:eastAsia="仿宋_GB2312"/>
                <w:color w:val="auto"/>
                <w:sz w:val="22"/>
                <w:highlight w:val="none"/>
              </w:rPr>
              <w:t>销售</w:t>
            </w:r>
            <w:r>
              <w:rPr>
                <w:rFonts w:eastAsia="仿宋_GB2312"/>
                <w:color w:val="auto"/>
                <w:sz w:val="22"/>
                <w:highlight w:val="none"/>
              </w:rPr>
              <w:t xml:space="preserve"> □</w:t>
            </w:r>
            <w:r>
              <w:rPr>
                <w:rFonts w:hint="eastAsia" w:eastAsia="仿宋_GB2312"/>
                <w:color w:val="auto"/>
                <w:sz w:val="22"/>
                <w:highlight w:val="none"/>
              </w:rPr>
              <w:t>物流（厂外）</w:t>
            </w:r>
            <w:r>
              <w:rPr>
                <w:rFonts w:eastAsia="仿宋_GB2312"/>
                <w:color w:val="auto"/>
                <w:sz w:val="22"/>
                <w:highlight w:val="none"/>
              </w:rPr>
              <w:t xml:space="preserve"> □</w:t>
            </w:r>
            <w:r>
              <w:rPr>
                <w:rFonts w:hint="eastAsia" w:eastAsia="仿宋_GB2312"/>
                <w:color w:val="auto"/>
                <w:sz w:val="22"/>
                <w:highlight w:val="none"/>
              </w:rPr>
              <w:t>财务</w:t>
            </w:r>
            <w:r>
              <w:rPr>
                <w:rFonts w:eastAsia="仿宋_GB2312"/>
                <w:color w:val="auto"/>
                <w:sz w:val="22"/>
                <w:highlight w:val="none"/>
              </w:rPr>
              <w:t xml:space="preserve"> □</w:t>
            </w:r>
            <w:r>
              <w:rPr>
                <w:rFonts w:hint="eastAsia" w:eastAsia="仿宋_GB2312"/>
                <w:color w:val="auto"/>
                <w:sz w:val="22"/>
                <w:highlight w:val="none"/>
              </w:rPr>
              <w:t>人力</w:t>
            </w:r>
            <w:r>
              <w:rPr>
                <w:rFonts w:eastAsia="仿宋_GB2312"/>
                <w:color w:val="auto"/>
                <w:sz w:val="22"/>
                <w:highlight w:val="none"/>
              </w:rPr>
              <w:t xml:space="preserve"> □</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4F9A0BF9">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794DF333">
            <w:pPr>
              <w:pStyle w:val="16"/>
              <w:widowControl/>
              <w:spacing w:line="240" w:lineRule="auto"/>
              <w:rPr>
                <w:rFonts w:eastAsia="仿宋_GB2312"/>
                <w:color w:val="auto"/>
                <w:sz w:val="22"/>
                <w:highlight w:val="none"/>
              </w:rPr>
            </w:pPr>
          </w:p>
        </w:tc>
      </w:tr>
      <w:tr w14:paraId="1568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A3656F">
            <w:pPr>
              <w:rPr>
                <w:rFonts w:ascii="Times New Roman" w:hAnsi="Times New Roman" w:cs="Times New Roman"/>
                <w:color w:val="auto"/>
                <w:sz w:val="20"/>
                <w:szCs w:val="20"/>
                <w:highlight w:val="none"/>
              </w:rPr>
            </w:pP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C8853">
            <w:pPr>
              <w:rPr>
                <w:rFonts w:ascii="Times New Roman" w:hAnsi="Times New Roman" w:cs="Times New Roman"/>
                <w:color w:val="auto"/>
                <w:sz w:val="20"/>
                <w:szCs w:val="20"/>
                <w:highlight w:val="none"/>
              </w:rPr>
            </w:pPr>
          </w:p>
        </w:tc>
        <w:tc>
          <w:tcPr>
            <w:tcW w:w="781" w:type="dxa"/>
            <w:tcBorders>
              <w:top w:val="nil"/>
              <w:left w:val="single" w:color="auto" w:sz="4" w:space="0"/>
              <w:bottom w:val="single" w:color="auto" w:sz="4" w:space="0"/>
              <w:right w:val="single" w:color="auto" w:sz="4" w:space="0"/>
            </w:tcBorders>
            <w:shd w:val="clear" w:color="auto" w:fill="auto"/>
            <w:vAlign w:val="center"/>
          </w:tcPr>
          <w:p w14:paraId="48D0287C">
            <w:pPr>
              <w:pStyle w:val="16"/>
              <w:widowControl/>
              <w:spacing w:line="240" w:lineRule="auto"/>
              <w:jc w:val="center"/>
              <w:rPr>
                <w:rFonts w:eastAsia="仿宋_GB2312"/>
                <w:color w:val="auto"/>
                <w:sz w:val="22"/>
                <w:highlight w:val="none"/>
              </w:rPr>
            </w:pPr>
            <w:r>
              <w:rPr>
                <w:rFonts w:eastAsia="仿宋_GB2312"/>
                <w:color w:val="auto"/>
                <w:sz w:val="22"/>
                <w:highlight w:val="none"/>
              </w:rPr>
              <w:t>6</w:t>
            </w:r>
          </w:p>
          <w:p w14:paraId="19F85EDF">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40%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0941383B">
            <w:pPr>
              <w:pStyle w:val="16"/>
              <w:widowControl/>
              <w:spacing w:line="240" w:lineRule="auto"/>
              <w:rPr>
                <w:rFonts w:eastAsia="仿宋_GB2312"/>
                <w:color w:val="auto"/>
                <w:sz w:val="22"/>
                <w:highlight w:val="none"/>
              </w:rPr>
            </w:pPr>
            <w:r>
              <w:rPr>
                <w:rFonts w:hint="eastAsia" w:eastAsia="仿宋_GB2312"/>
                <w:color w:val="auto"/>
                <w:sz w:val="22"/>
                <w:highlight w:val="none"/>
              </w:rPr>
              <w:t>企业实现各类数据汇聚及应用的情况</w:t>
            </w:r>
          </w:p>
          <w:p w14:paraId="516D95C0">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建立了统一的数据编码、数据交换格式和规则等</w:t>
            </w:r>
          </w:p>
          <w:p w14:paraId="2015BFA5">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实现了数据及分析结果的跨部门共享</w:t>
            </w:r>
          </w:p>
          <w:p w14:paraId="3C54746B">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构建了数据算法模型，支撑业务人员进行数据分析</w:t>
            </w:r>
          </w:p>
          <w:p w14:paraId="3D3ECEF9">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构建了可视化数据分析工具</w:t>
            </w:r>
          </w:p>
          <w:p w14:paraId="256942F6">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EB0B9E3">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7945C4F9">
            <w:pPr>
              <w:pStyle w:val="16"/>
              <w:widowControl/>
              <w:spacing w:line="240" w:lineRule="auto"/>
              <w:rPr>
                <w:rFonts w:eastAsia="仿宋_GB2312"/>
                <w:color w:val="auto"/>
                <w:sz w:val="22"/>
                <w:highlight w:val="none"/>
              </w:rPr>
            </w:pPr>
          </w:p>
        </w:tc>
      </w:tr>
      <w:tr w14:paraId="359C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CBBB0">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B0FA52F">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网络</w:t>
            </w:r>
          </w:p>
          <w:p w14:paraId="238F5DC6">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安全</w:t>
            </w:r>
          </w:p>
          <w:p w14:paraId="37DFD0CE">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30%</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4B7862A2">
            <w:pPr>
              <w:pStyle w:val="16"/>
              <w:widowControl/>
              <w:spacing w:line="240" w:lineRule="auto"/>
              <w:jc w:val="center"/>
              <w:rPr>
                <w:rFonts w:eastAsia="仿宋_GB2312"/>
                <w:color w:val="auto"/>
                <w:sz w:val="22"/>
                <w:highlight w:val="none"/>
              </w:rPr>
            </w:pPr>
            <w:r>
              <w:rPr>
                <w:rFonts w:eastAsia="仿宋_GB2312"/>
                <w:color w:val="auto"/>
                <w:sz w:val="22"/>
                <w:highlight w:val="none"/>
              </w:rPr>
              <w:t>7</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34D32885">
            <w:pPr>
              <w:pStyle w:val="16"/>
              <w:widowControl/>
              <w:spacing w:line="240" w:lineRule="auto"/>
              <w:rPr>
                <w:rFonts w:eastAsia="仿宋_GB2312"/>
                <w:color w:val="auto"/>
                <w:sz w:val="22"/>
                <w:highlight w:val="none"/>
              </w:rPr>
            </w:pPr>
            <w:r>
              <w:rPr>
                <w:rFonts w:hint="eastAsia" w:eastAsia="仿宋_GB2312"/>
                <w:color w:val="auto"/>
                <w:sz w:val="22"/>
                <w:highlight w:val="none"/>
              </w:rPr>
              <w:t>企业在保障网络安全方面采取的举措情况</w:t>
            </w:r>
          </w:p>
          <w:p w14:paraId="273ED5B6">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使用了工业级网络安全产品及服务，尚未建立网络安全保障制度</w:t>
            </w:r>
          </w:p>
          <w:p w14:paraId="74B9BB1B">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建立了网络安全保障制度，尚未开展网络安全等级自评估</w:t>
            </w:r>
          </w:p>
          <w:p w14:paraId="31F1515B">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开展了网络安全等级自评估，尚未通过第三方机构的验收认定</w:t>
            </w:r>
          </w:p>
          <w:p w14:paraId="7B0E54FB">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网络安全等级评估通过了第三方机构的验收认定</w:t>
            </w:r>
          </w:p>
          <w:p w14:paraId="201ED4BD">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3F30F62">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58E0351D">
            <w:pPr>
              <w:pStyle w:val="16"/>
              <w:widowControl/>
              <w:spacing w:line="240" w:lineRule="auto"/>
              <w:rPr>
                <w:rFonts w:eastAsia="仿宋_GB2312"/>
                <w:color w:val="auto"/>
                <w:sz w:val="22"/>
                <w:highlight w:val="none"/>
              </w:rPr>
            </w:pPr>
          </w:p>
        </w:tc>
      </w:tr>
      <w:tr w14:paraId="7107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C24DA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二、</w:t>
            </w:r>
          </w:p>
          <w:p w14:paraId="229D99B5">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数字化经营</w:t>
            </w:r>
          </w:p>
          <w:p w14:paraId="79E5EC82">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45%</w:t>
            </w:r>
            <w:r>
              <w:rPr>
                <w:rFonts w:hint="eastAsia" w:eastAsia="仿宋_GB2312"/>
                <w:color w:val="auto"/>
                <w:sz w:val="22"/>
                <w:highlight w:val="none"/>
              </w:rPr>
              <w:t>）</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AD8B0F7">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研发</w:t>
            </w:r>
          </w:p>
          <w:p w14:paraId="70B506F1">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设计</w:t>
            </w:r>
          </w:p>
          <w:p w14:paraId="20C33072">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14%</w:t>
            </w:r>
            <w:r>
              <w:rPr>
                <w:rFonts w:hint="eastAsia" w:eastAsia="仿宋_GB2312"/>
                <w:color w:val="auto"/>
                <w:sz w:val="22"/>
                <w:highlight w:val="none"/>
              </w:rPr>
              <w:t>）</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2A5F78CD">
            <w:pPr>
              <w:pStyle w:val="16"/>
              <w:widowControl/>
              <w:spacing w:line="240" w:lineRule="auto"/>
              <w:jc w:val="center"/>
              <w:rPr>
                <w:rFonts w:eastAsia="仿宋_GB2312"/>
                <w:color w:val="auto"/>
                <w:sz w:val="22"/>
                <w:highlight w:val="none"/>
              </w:rPr>
            </w:pPr>
            <w:r>
              <w:rPr>
                <w:rFonts w:eastAsia="仿宋_GB2312"/>
                <w:color w:val="auto"/>
                <w:sz w:val="22"/>
                <w:highlight w:val="none"/>
              </w:rPr>
              <w:t>8</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1359F934">
            <w:pPr>
              <w:pStyle w:val="16"/>
              <w:widowControl/>
              <w:spacing w:line="240" w:lineRule="auto"/>
              <w:rPr>
                <w:rFonts w:eastAsia="仿宋_GB2312"/>
                <w:color w:val="auto"/>
                <w:sz w:val="22"/>
                <w:highlight w:val="none"/>
              </w:rPr>
            </w:pPr>
            <w:r>
              <w:rPr>
                <w:rFonts w:hint="eastAsia" w:eastAsia="仿宋_GB2312"/>
                <w:color w:val="auto"/>
                <w:sz w:val="22"/>
                <w:highlight w:val="none"/>
              </w:rPr>
              <w:t>研发设计环节，企业开展数字化研发设计的情况</w:t>
            </w:r>
          </w:p>
          <w:p w14:paraId="5B17D643">
            <w:pPr>
              <w:pStyle w:val="16"/>
              <w:widowControl/>
              <w:spacing w:line="240" w:lineRule="auto"/>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50%</w:t>
            </w:r>
            <w:r>
              <w:rPr>
                <w:rFonts w:hint="eastAsia" w:eastAsia="仿宋_GB2312"/>
                <w:color w:val="auto"/>
                <w:sz w:val="22"/>
                <w:highlight w:val="none"/>
              </w:rPr>
              <w:t>以上关键业务研发设计项目实现下列数字化场景即可勾选该项）</w:t>
            </w:r>
          </w:p>
          <w:p w14:paraId="4C7E88B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应用二维、三维计算机设计软件辅助开展设计工作</w:t>
            </w:r>
          </w:p>
          <w:p w14:paraId="43BB152A">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使用</w:t>
            </w:r>
            <w:r>
              <w:rPr>
                <w:rFonts w:eastAsia="仿宋_GB2312"/>
                <w:color w:val="auto"/>
                <w:sz w:val="22"/>
                <w:highlight w:val="none"/>
              </w:rPr>
              <w:t>PDM</w:t>
            </w:r>
            <w:r>
              <w:rPr>
                <w:rFonts w:hint="eastAsia" w:eastAsia="仿宋_GB2312"/>
                <w:color w:val="auto"/>
                <w:sz w:val="22"/>
                <w:highlight w:val="none"/>
              </w:rPr>
              <w:t>或</w:t>
            </w:r>
            <w:r>
              <w:rPr>
                <w:rFonts w:eastAsia="仿宋_GB2312"/>
                <w:color w:val="auto"/>
                <w:sz w:val="22"/>
                <w:highlight w:val="none"/>
              </w:rPr>
              <w:t>PLM</w:t>
            </w:r>
            <w:r>
              <w:rPr>
                <w:rFonts w:hint="eastAsia" w:eastAsia="仿宋_GB2312"/>
                <w:color w:val="auto"/>
                <w:sz w:val="22"/>
                <w:highlight w:val="none"/>
              </w:rPr>
              <w:t>等软件实现文档、数据、流程等的共享和统一管理</w:t>
            </w:r>
          </w:p>
          <w:p w14:paraId="335A9A52">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建设和应用产品设计标准库、组件库或知识库</w:t>
            </w:r>
          </w:p>
          <w:p w14:paraId="2CC3A87A">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将产品设计信息集成于产品的数字化模型中，实现产品设计数据的唯一性</w:t>
            </w:r>
          </w:p>
          <w:p w14:paraId="6DDE3BDA">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实现产品设计和工艺设计间的信息交互和并行协同</w:t>
            </w:r>
          </w:p>
          <w:p w14:paraId="742FA7FA">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45BD970">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40247DB2">
            <w:pPr>
              <w:pStyle w:val="16"/>
              <w:widowControl/>
              <w:spacing w:line="240" w:lineRule="auto"/>
              <w:rPr>
                <w:rFonts w:eastAsia="仿宋_GB2312"/>
                <w:color w:val="auto"/>
                <w:sz w:val="22"/>
                <w:highlight w:val="none"/>
              </w:rPr>
            </w:pPr>
          </w:p>
        </w:tc>
      </w:tr>
      <w:tr w14:paraId="1350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F4F18">
            <w:pPr>
              <w:rPr>
                <w:rFonts w:ascii="Times New Roman" w:hAnsi="Times New Roman" w:cs="Times New Roman"/>
                <w:color w:val="auto"/>
                <w:sz w:val="20"/>
                <w:szCs w:val="20"/>
                <w:highlight w:val="none"/>
              </w:rPr>
            </w:pPr>
          </w:p>
        </w:tc>
        <w:tc>
          <w:tcPr>
            <w:tcW w:w="8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40AA0F">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生产</w:t>
            </w:r>
          </w:p>
          <w:p w14:paraId="0D755BEA">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管控</w:t>
            </w:r>
          </w:p>
          <w:p w14:paraId="6982C67E">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42%</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6957EB9E">
            <w:pPr>
              <w:pStyle w:val="16"/>
              <w:widowControl/>
              <w:spacing w:line="240" w:lineRule="auto"/>
              <w:jc w:val="center"/>
              <w:rPr>
                <w:rFonts w:eastAsia="仿宋_GB2312"/>
                <w:color w:val="auto"/>
                <w:sz w:val="22"/>
                <w:highlight w:val="none"/>
              </w:rPr>
            </w:pPr>
            <w:r>
              <w:rPr>
                <w:rFonts w:eastAsia="仿宋_GB2312"/>
                <w:color w:val="auto"/>
                <w:sz w:val="22"/>
                <w:highlight w:val="none"/>
              </w:rPr>
              <w:t>9</w:t>
            </w:r>
          </w:p>
          <w:p w14:paraId="6050FDEF">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416B80D2">
            <w:pPr>
              <w:pStyle w:val="16"/>
              <w:widowControl/>
              <w:spacing w:line="240" w:lineRule="auto"/>
              <w:rPr>
                <w:rFonts w:eastAsia="仿宋_GB2312"/>
                <w:color w:val="auto"/>
                <w:sz w:val="22"/>
                <w:highlight w:val="none"/>
              </w:rPr>
            </w:pPr>
            <w:r>
              <w:rPr>
                <w:rFonts w:hint="eastAsia" w:eastAsia="仿宋_GB2312"/>
                <w:color w:val="auto"/>
                <w:sz w:val="22"/>
                <w:highlight w:val="none"/>
              </w:rPr>
              <w:t>生产计划环节，企业实现生产计划排产排程的情况</w:t>
            </w:r>
          </w:p>
          <w:p w14:paraId="100C2180">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通过信息系统实现具有约束条件的主生产计划生产和物料需求计算</w:t>
            </w:r>
          </w:p>
          <w:p w14:paraId="285210CB">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通过信息系统开展车间计划排产</w:t>
            </w:r>
          </w:p>
          <w:p w14:paraId="5991B129">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部分车间生产计划实现自动排产</w:t>
            </w:r>
          </w:p>
          <w:p w14:paraId="558AFD2F">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全部车间生产计划实现自动排产</w:t>
            </w:r>
          </w:p>
          <w:p w14:paraId="33EE676A">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6DCCC0E">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3547A34A">
            <w:pPr>
              <w:pStyle w:val="16"/>
              <w:widowControl/>
              <w:spacing w:line="240" w:lineRule="auto"/>
              <w:rPr>
                <w:rFonts w:eastAsia="仿宋_GB2312"/>
                <w:color w:val="auto"/>
                <w:sz w:val="22"/>
                <w:highlight w:val="none"/>
              </w:rPr>
            </w:pPr>
          </w:p>
        </w:tc>
      </w:tr>
      <w:tr w14:paraId="0062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1BE943">
            <w:pPr>
              <w:rPr>
                <w:rFonts w:ascii="Times New Roman" w:hAnsi="Times New Roman" w:cs="Times New Roman"/>
                <w:color w:val="auto"/>
                <w:sz w:val="20"/>
                <w:szCs w:val="20"/>
                <w:highlight w:val="none"/>
              </w:rPr>
            </w:pP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8B615">
            <w:pPr>
              <w:rPr>
                <w:rFonts w:ascii="Times New Roman" w:hAnsi="Times New Roman" w:cs="Times New Roman"/>
                <w:color w:val="auto"/>
                <w:sz w:val="20"/>
                <w:szCs w:val="20"/>
                <w:highlight w:val="none"/>
              </w:rPr>
            </w:pPr>
          </w:p>
        </w:tc>
        <w:tc>
          <w:tcPr>
            <w:tcW w:w="781" w:type="dxa"/>
            <w:tcBorders>
              <w:top w:val="nil"/>
              <w:left w:val="single" w:color="auto" w:sz="4" w:space="0"/>
              <w:bottom w:val="single" w:color="auto" w:sz="4" w:space="0"/>
              <w:right w:val="single" w:color="auto" w:sz="4" w:space="0"/>
            </w:tcBorders>
            <w:shd w:val="clear" w:color="auto" w:fill="auto"/>
            <w:vAlign w:val="center"/>
          </w:tcPr>
          <w:p w14:paraId="07DE790D">
            <w:pPr>
              <w:pStyle w:val="16"/>
              <w:widowControl/>
              <w:spacing w:line="240" w:lineRule="auto"/>
              <w:jc w:val="center"/>
              <w:rPr>
                <w:rFonts w:eastAsia="仿宋_GB2312"/>
                <w:color w:val="auto"/>
                <w:sz w:val="22"/>
                <w:highlight w:val="none"/>
              </w:rPr>
            </w:pPr>
            <w:r>
              <w:rPr>
                <w:rFonts w:eastAsia="仿宋_GB2312"/>
                <w:color w:val="auto"/>
                <w:sz w:val="22"/>
                <w:highlight w:val="none"/>
              </w:rPr>
              <w:t>10</w:t>
            </w:r>
          </w:p>
          <w:p w14:paraId="1D411C1B">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10%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0643CF73">
            <w:pPr>
              <w:pStyle w:val="16"/>
              <w:widowControl/>
              <w:spacing w:line="240" w:lineRule="auto"/>
              <w:rPr>
                <w:rFonts w:eastAsia="仿宋_GB2312"/>
                <w:color w:val="auto"/>
                <w:sz w:val="22"/>
                <w:highlight w:val="none"/>
              </w:rPr>
            </w:pPr>
            <w:r>
              <w:rPr>
                <w:rFonts w:hint="eastAsia" w:eastAsia="仿宋_GB2312"/>
                <w:color w:val="auto"/>
                <w:sz w:val="22"/>
                <w:highlight w:val="none"/>
              </w:rPr>
              <w:t>生产监控环节，企业利用信息系统实现生产过程监控的情况</w:t>
            </w:r>
          </w:p>
          <w:p w14:paraId="03D0437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设备：能够在一种或多种单个设备层面实现生产过程监控</w:t>
            </w:r>
          </w:p>
          <w:p w14:paraId="63E6603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工序：能够在一道或多道工序层面实现生产过程监控。</w:t>
            </w:r>
          </w:p>
          <w:p w14:paraId="416C91E2">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生产线：能够在一条或多条生产线层面实现生产过程监控</w:t>
            </w:r>
          </w:p>
          <w:p w14:paraId="31C67BA0">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车间：能够在一个或多个车间层面实现生产过程监控。</w:t>
            </w:r>
          </w:p>
          <w:p w14:paraId="6BDFE41F">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387FF678">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3858C34D">
            <w:pPr>
              <w:pStyle w:val="16"/>
              <w:widowControl/>
              <w:spacing w:line="240" w:lineRule="auto"/>
              <w:rPr>
                <w:rFonts w:eastAsia="仿宋_GB2312"/>
                <w:color w:val="auto"/>
                <w:sz w:val="22"/>
                <w:highlight w:val="none"/>
              </w:rPr>
            </w:pPr>
          </w:p>
        </w:tc>
      </w:tr>
      <w:tr w14:paraId="22D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09D99">
            <w:pPr>
              <w:rPr>
                <w:rFonts w:ascii="Times New Roman" w:hAnsi="Times New Roman" w:cs="Times New Roman"/>
                <w:color w:val="auto"/>
                <w:sz w:val="20"/>
                <w:szCs w:val="20"/>
                <w:highlight w:val="none"/>
              </w:rPr>
            </w:pP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EDBFE">
            <w:pPr>
              <w:rPr>
                <w:rFonts w:ascii="Times New Roman" w:hAnsi="Times New Roman" w:cs="Times New Roman"/>
                <w:color w:val="auto"/>
                <w:sz w:val="20"/>
                <w:szCs w:val="20"/>
                <w:highlight w:val="none"/>
              </w:rPr>
            </w:pPr>
          </w:p>
        </w:tc>
        <w:tc>
          <w:tcPr>
            <w:tcW w:w="781" w:type="dxa"/>
            <w:tcBorders>
              <w:top w:val="nil"/>
              <w:left w:val="single" w:color="auto" w:sz="4" w:space="0"/>
              <w:bottom w:val="single" w:color="auto" w:sz="4" w:space="0"/>
              <w:right w:val="single" w:color="auto" w:sz="4" w:space="0"/>
            </w:tcBorders>
            <w:shd w:val="clear" w:color="auto" w:fill="auto"/>
            <w:vAlign w:val="center"/>
          </w:tcPr>
          <w:p w14:paraId="49F85288">
            <w:pPr>
              <w:pStyle w:val="16"/>
              <w:widowControl/>
              <w:spacing w:line="240" w:lineRule="auto"/>
              <w:jc w:val="center"/>
              <w:rPr>
                <w:rFonts w:eastAsia="仿宋_GB2312"/>
                <w:color w:val="auto"/>
                <w:sz w:val="22"/>
                <w:highlight w:val="none"/>
              </w:rPr>
            </w:pPr>
            <w:r>
              <w:rPr>
                <w:rFonts w:eastAsia="仿宋_GB2312"/>
                <w:color w:val="auto"/>
                <w:sz w:val="22"/>
                <w:highlight w:val="none"/>
              </w:rPr>
              <w:t>11</w:t>
            </w:r>
          </w:p>
          <w:p w14:paraId="101A3A4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30%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23F2716B">
            <w:pPr>
              <w:pStyle w:val="16"/>
              <w:widowControl/>
              <w:spacing w:line="240" w:lineRule="auto"/>
              <w:rPr>
                <w:rFonts w:eastAsia="仿宋_GB2312"/>
                <w:color w:val="auto"/>
                <w:sz w:val="22"/>
                <w:highlight w:val="none"/>
              </w:rPr>
            </w:pPr>
            <w:r>
              <w:rPr>
                <w:rFonts w:hint="eastAsia" w:eastAsia="仿宋_GB2312"/>
                <w:color w:val="auto"/>
                <w:sz w:val="22"/>
                <w:highlight w:val="none"/>
              </w:rPr>
              <w:t>生产作业环节，企业实现智能制造典型场景的覆盖范围</w:t>
            </w:r>
          </w:p>
          <w:p w14:paraId="5CDE077A">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自动巡检：应用智能巡检装备或设备管理系统，集成数字化技术，实现对设备的高效巡检或异常报警等（</w:t>
            </w:r>
            <w:r>
              <w:rPr>
                <w:rFonts w:eastAsia="仿宋_GB2312"/>
                <w:color w:val="auto"/>
                <w:sz w:val="22"/>
                <w:highlight w:val="none"/>
              </w:rPr>
              <w:t>50%</w:t>
            </w:r>
            <w:r>
              <w:rPr>
                <w:rFonts w:hint="eastAsia" w:eastAsia="仿宋_GB2312"/>
                <w:color w:val="auto"/>
                <w:sz w:val="22"/>
                <w:highlight w:val="none"/>
              </w:rPr>
              <w:t>以上关键业务设备实现下列数字化场景即可勾选该项）</w:t>
            </w:r>
          </w:p>
          <w:p w14:paraId="198A4495">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生产过程可视化：依托各类生产、系统集成，实现生产成本、交期或订单执行进度的可视化（</w:t>
            </w:r>
            <w:r>
              <w:rPr>
                <w:rFonts w:eastAsia="仿宋_GB2312"/>
                <w:color w:val="auto"/>
                <w:sz w:val="22"/>
                <w:highlight w:val="none"/>
              </w:rPr>
              <w:t>50%</w:t>
            </w:r>
            <w:r>
              <w:rPr>
                <w:rFonts w:hint="eastAsia" w:eastAsia="仿宋_GB2312"/>
                <w:color w:val="auto"/>
                <w:sz w:val="22"/>
                <w:highlight w:val="none"/>
              </w:rPr>
              <w:t>以上关键业务生产成本、交期或订单执行进度实现即可勾选）</w:t>
            </w:r>
          </w:p>
          <w:p w14:paraId="4F0960FD">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精益生产管理：应用数字化工具和方法，开展数据驱动的人、机、料等精确管控，减少生产浪费（</w:t>
            </w:r>
            <w:r>
              <w:rPr>
                <w:rFonts w:eastAsia="仿宋_GB2312"/>
                <w:color w:val="auto"/>
                <w:sz w:val="22"/>
                <w:highlight w:val="none"/>
              </w:rPr>
              <w:t>50%</w:t>
            </w:r>
            <w:r>
              <w:rPr>
                <w:rFonts w:hint="eastAsia" w:eastAsia="仿宋_GB2312"/>
                <w:color w:val="auto"/>
                <w:sz w:val="22"/>
                <w:highlight w:val="none"/>
              </w:rPr>
              <w:t>以上关键业务人、机、料等实现即可勾选）</w:t>
            </w:r>
          </w:p>
          <w:p w14:paraId="3C851E05">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人机协同作业：集成机器人、高端机床或人机交互设备等智能装备，应用</w:t>
            </w:r>
            <w:r>
              <w:rPr>
                <w:rFonts w:eastAsia="仿宋_GB2312"/>
                <w:color w:val="auto"/>
                <w:sz w:val="22"/>
                <w:highlight w:val="none"/>
              </w:rPr>
              <w:t>AR/VR</w:t>
            </w:r>
            <w:r>
              <w:rPr>
                <w:rFonts w:hint="eastAsia" w:eastAsia="仿宋_GB2312"/>
                <w:color w:val="auto"/>
                <w:sz w:val="22"/>
                <w:highlight w:val="none"/>
              </w:rPr>
              <w:t>、机器视觉等技术，实现生产的高效组织和作业协同（</w:t>
            </w:r>
            <w:r>
              <w:rPr>
                <w:rFonts w:eastAsia="仿宋_GB2312"/>
                <w:color w:val="auto"/>
                <w:sz w:val="22"/>
                <w:highlight w:val="none"/>
              </w:rPr>
              <w:t>50%</w:t>
            </w:r>
            <w:r>
              <w:rPr>
                <w:rFonts w:hint="eastAsia" w:eastAsia="仿宋_GB2312"/>
                <w:color w:val="auto"/>
                <w:sz w:val="22"/>
                <w:highlight w:val="none"/>
              </w:rPr>
              <w:t>以上关键产线实现即可勾选）</w:t>
            </w:r>
          </w:p>
          <w:p w14:paraId="64E6413D">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基于数字孪生的制造：构建装备、产线、车间、工厂等一种或几种不同层级的数字孪生系统，实现物理世界和虚拟空间的实时映射，推动感知、分析、预测和控制能力的全面提升（某一或几种</w:t>
            </w:r>
            <w:r>
              <w:rPr>
                <w:rFonts w:eastAsia="仿宋_GB2312"/>
                <w:color w:val="auto"/>
                <w:sz w:val="22"/>
                <w:highlight w:val="none"/>
              </w:rPr>
              <w:t>/</w:t>
            </w:r>
            <w:r>
              <w:rPr>
                <w:rFonts w:hint="eastAsia" w:eastAsia="仿宋_GB2312"/>
                <w:color w:val="auto"/>
                <w:sz w:val="22"/>
                <w:highlight w:val="none"/>
              </w:rPr>
              <w:t>个关键装备、产线、车间或工厂实现即可勾选）</w:t>
            </w:r>
          </w:p>
          <w:p w14:paraId="6A038E13">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65A9BD0">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43EBAE2F">
            <w:pPr>
              <w:pStyle w:val="16"/>
              <w:widowControl/>
              <w:spacing w:line="240" w:lineRule="auto"/>
              <w:rPr>
                <w:rFonts w:eastAsia="仿宋_GB2312"/>
                <w:color w:val="auto"/>
                <w:sz w:val="22"/>
                <w:highlight w:val="none"/>
              </w:rPr>
            </w:pPr>
          </w:p>
        </w:tc>
      </w:tr>
      <w:tr w14:paraId="0982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C5C1F">
            <w:pPr>
              <w:rPr>
                <w:rFonts w:ascii="Times New Roman" w:hAnsi="Times New Roman" w:cs="Times New Roman"/>
                <w:color w:val="auto"/>
                <w:sz w:val="20"/>
                <w:szCs w:val="20"/>
                <w:highlight w:val="none"/>
              </w:rPr>
            </w:pP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F281F">
            <w:pPr>
              <w:rPr>
                <w:rFonts w:ascii="Times New Roman" w:hAnsi="Times New Roman" w:cs="Times New Roman"/>
                <w:color w:val="auto"/>
                <w:sz w:val="20"/>
                <w:szCs w:val="20"/>
                <w:highlight w:val="none"/>
              </w:rPr>
            </w:pPr>
          </w:p>
        </w:tc>
        <w:tc>
          <w:tcPr>
            <w:tcW w:w="781" w:type="dxa"/>
            <w:tcBorders>
              <w:top w:val="nil"/>
              <w:left w:val="single" w:color="auto" w:sz="4" w:space="0"/>
              <w:bottom w:val="single" w:color="auto" w:sz="4" w:space="0"/>
              <w:right w:val="single" w:color="auto" w:sz="4" w:space="0"/>
            </w:tcBorders>
            <w:shd w:val="clear" w:color="auto" w:fill="auto"/>
            <w:vAlign w:val="center"/>
          </w:tcPr>
          <w:p w14:paraId="73334AA5">
            <w:pPr>
              <w:pStyle w:val="16"/>
              <w:widowControl/>
              <w:spacing w:line="240" w:lineRule="auto"/>
              <w:jc w:val="center"/>
              <w:rPr>
                <w:rFonts w:eastAsia="仿宋_GB2312"/>
                <w:color w:val="auto"/>
                <w:sz w:val="22"/>
                <w:highlight w:val="none"/>
              </w:rPr>
            </w:pPr>
            <w:r>
              <w:rPr>
                <w:rFonts w:eastAsia="仿宋_GB2312"/>
                <w:color w:val="auto"/>
                <w:sz w:val="22"/>
                <w:highlight w:val="none"/>
              </w:rPr>
              <w:t>12</w:t>
            </w:r>
          </w:p>
          <w:p w14:paraId="752B608E">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41E970AC">
            <w:pPr>
              <w:pStyle w:val="16"/>
              <w:widowControl/>
              <w:spacing w:line="240" w:lineRule="auto"/>
              <w:rPr>
                <w:rFonts w:eastAsia="仿宋_GB2312"/>
                <w:color w:val="auto"/>
                <w:sz w:val="22"/>
                <w:highlight w:val="none"/>
              </w:rPr>
            </w:pPr>
            <w:r>
              <w:rPr>
                <w:rFonts w:hint="eastAsia" w:eastAsia="仿宋_GB2312"/>
                <w:color w:val="auto"/>
                <w:sz w:val="22"/>
                <w:highlight w:val="none"/>
              </w:rPr>
              <w:t>质量控制环节，企业运用数字化手段提高质量控制能力的重点场景覆盖范围</w:t>
            </w:r>
          </w:p>
          <w:p w14:paraId="48B6826C">
            <w:pPr>
              <w:pStyle w:val="16"/>
              <w:widowControl/>
              <w:spacing w:line="240" w:lineRule="auto"/>
              <w:rPr>
                <w:rFonts w:eastAsia="仿宋_GB2312"/>
                <w:color w:val="auto"/>
                <w:sz w:val="22"/>
                <w:highlight w:val="none"/>
              </w:rPr>
            </w:pPr>
            <w:r>
              <w:rPr>
                <w:rFonts w:hint="eastAsia" w:eastAsia="仿宋_GB2312"/>
                <w:color w:val="auto"/>
                <w:sz w:val="22"/>
                <w:highlight w:val="none"/>
              </w:rPr>
              <w:t>（某一种或几种关键产品或物料实现即可勾选）</w:t>
            </w:r>
          </w:p>
          <w:p w14:paraId="07FE6A70">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数字化检测：应用数字化设备和技术，实现关键环节的在线检测、分析、结果判定</w:t>
            </w:r>
          </w:p>
          <w:p w14:paraId="5DFA973C">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质量精准追溯：应用数字化技术，采集产品原料、生产过程、客户使用的质量信息等信息，实现产品质量全过程精准追溯</w:t>
            </w:r>
          </w:p>
          <w:p w14:paraId="5C9AB3CC">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产品质量优化：应用数字化技术，实现产品质量影响因素识别、缺陷分析预测或质量优化提升</w:t>
            </w:r>
          </w:p>
          <w:p w14:paraId="41CAB641">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质量控制协同：利用数字化手段实现质量控制与相关业务的协同，包括质量与规范同步、检测数据与设备信息同步、供应商质量信息同步、客户质量信息同步等</w:t>
            </w:r>
          </w:p>
          <w:p w14:paraId="623254A7">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E9950CC">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7953AE8A">
            <w:pPr>
              <w:pStyle w:val="16"/>
              <w:widowControl/>
              <w:spacing w:line="240" w:lineRule="auto"/>
              <w:rPr>
                <w:rFonts w:eastAsia="仿宋_GB2312"/>
                <w:color w:val="auto"/>
                <w:sz w:val="22"/>
                <w:highlight w:val="none"/>
              </w:rPr>
            </w:pPr>
          </w:p>
        </w:tc>
      </w:tr>
      <w:tr w14:paraId="3C81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1B506">
            <w:pPr>
              <w:rPr>
                <w:rFonts w:ascii="Times New Roman" w:hAnsi="Times New Roman" w:cs="Times New Roman"/>
                <w:color w:val="auto"/>
                <w:sz w:val="20"/>
                <w:szCs w:val="20"/>
                <w:highlight w:val="none"/>
              </w:rPr>
            </w:pP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D4734">
            <w:pPr>
              <w:rPr>
                <w:rFonts w:ascii="Times New Roman" w:hAnsi="Times New Roman" w:cs="Times New Roman"/>
                <w:color w:val="auto"/>
                <w:sz w:val="20"/>
                <w:szCs w:val="20"/>
                <w:highlight w:val="none"/>
              </w:rPr>
            </w:pPr>
          </w:p>
        </w:tc>
        <w:tc>
          <w:tcPr>
            <w:tcW w:w="781" w:type="dxa"/>
            <w:tcBorders>
              <w:top w:val="nil"/>
              <w:left w:val="single" w:color="auto" w:sz="4" w:space="0"/>
              <w:bottom w:val="single" w:color="auto" w:sz="4" w:space="0"/>
              <w:right w:val="single" w:color="auto" w:sz="4" w:space="0"/>
            </w:tcBorders>
            <w:shd w:val="clear" w:color="auto" w:fill="auto"/>
            <w:vAlign w:val="center"/>
          </w:tcPr>
          <w:p w14:paraId="4C32B10E">
            <w:pPr>
              <w:pStyle w:val="16"/>
              <w:widowControl/>
              <w:spacing w:line="240" w:lineRule="auto"/>
              <w:jc w:val="center"/>
              <w:rPr>
                <w:rFonts w:eastAsia="仿宋_GB2312"/>
                <w:color w:val="auto"/>
                <w:sz w:val="22"/>
                <w:highlight w:val="none"/>
              </w:rPr>
            </w:pPr>
            <w:r>
              <w:rPr>
                <w:rFonts w:eastAsia="仿宋_GB2312"/>
                <w:color w:val="auto"/>
                <w:sz w:val="22"/>
                <w:highlight w:val="none"/>
              </w:rPr>
              <w:t>13</w:t>
            </w:r>
          </w:p>
          <w:p w14:paraId="39B39E7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20%</w:t>
            </w:r>
            <w:r>
              <w:rPr>
                <w:rFonts w:hint="eastAsia" w:eastAsia="仿宋_GB2312"/>
                <w:color w:val="auto"/>
                <w:sz w:val="22"/>
                <w:highlight w:val="none"/>
              </w:rPr>
              <w:t>）</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325F5ACC">
            <w:pPr>
              <w:pStyle w:val="16"/>
              <w:widowControl/>
              <w:spacing w:line="240" w:lineRule="auto"/>
              <w:rPr>
                <w:rFonts w:eastAsia="仿宋_GB2312"/>
                <w:color w:val="auto"/>
                <w:sz w:val="22"/>
                <w:highlight w:val="none"/>
              </w:rPr>
            </w:pPr>
            <w:r>
              <w:rPr>
                <w:rFonts w:hint="eastAsia" w:eastAsia="仿宋_GB2312"/>
                <w:color w:val="auto"/>
                <w:sz w:val="22"/>
                <w:highlight w:val="none"/>
              </w:rPr>
              <w:t>仓储物流环节：企业实现仓储物流数字化场景的覆盖范围</w:t>
            </w:r>
          </w:p>
          <w:p w14:paraId="78F83BDC">
            <w:pPr>
              <w:pStyle w:val="16"/>
              <w:widowControl/>
              <w:spacing w:line="240" w:lineRule="auto"/>
              <w:rPr>
                <w:rFonts w:eastAsia="仿宋_GB2312"/>
                <w:color w:val="auto"/>
                <w:sz w:val="22"/>
                <w:highlight w:val="none"/>
              </w:rPr>
            </w:pPr>
            <w:r>
              <w:rPr>
                <w:rFonts w:hint="eastAsia" w:eastAsia="仿宋_GB2312"/>
                <w:color w:val="auto"/>
                <w:sz w:val="22"/>
                <w:highlight w:val="none"/>
              </w:rPr>
              <w:t>（注</w:t>
            </w:r>
            <w:r>
              <w:rPr>
                <w:rFonts w:eastAsia="仿宋_GB2312"/>
                <w:color w:val="auto"/>
                <w:sz w:val="22"/>
                <w:highlight w:val="none"/>
              </w:rPr>
              <w:t>1</w:t>
            </w:r>
            <w:r>
              <w:rPr>
                <w:rFonts w:hint="eastAsia" w:eastAsia="仿宋_GB2312"/>
                <w:color w:val="auto"/>
                <w:sz w:val="22"/>
                <w:highlight w:val="none"/>
              </w:rPr>
              <w:t>：</w:t>
            </w:r>
            <w:r>
              <w:rPr>
                <w:rFonts w:eastAsia="仿宋_GB2312"/>
                <w:color w:val="auto"/>
                <w:sz w:val="22"/>
                <w:highlight w:val="none"/>
              </w:rPr>
              <w:t>50%</w:t>
            </w:r>
            <w:r>
              <w:rPr>
                <w:rFonts w:hint="eastAsia" w:eastAsia="仿宋_GB2312"/>
                <w:color w:val="auto"/>
                <w:sz w:val="22"/>
                <w:highlight w:val="none"/>
              </w:rPr>
              <w:t>以上关键原料、半成品、成品等实现下列数字化场景即可勾选该项）</w:t>
            </w:r>
          </w:p>
          <w:p w14:paraId="529E5E8A">
            <w:pPr>
              <w:pStyle w:val="16"/>
              <w:widowControl/>
              <w:spacing w:line="240" w:lineRule="auto"/>
              <w:rPr>
                <w:rFonts w:eastAsia="仿宋_GB2312"/>
                <w:color w:val="auto"/>
                <w:sz w:val="22"/>
                <w:highlight w:val="none"/>
              </w:rPr>
            </w:pPr>
            <w:r>
              <w:rPr>
                <w:rFonts w:hint="eastAsia" w:eastAsia="仿宋_GB2312"/>
                <w:color w:val="auto"/>
                <w:sz w:val="22"/>
                <w:highlight w:val="none"/>
              </w:rPr>
              <w:t>（注</w:t>
            </w:r>
            <w:r>
              <w:rPr>
                <w:rFonts w:eastAsia="仿宋_GB2312"/>
                <w:color w:val="auto"/>
                <w:sz w:val="22"/>
                <w:highlight w:val="none"/>
              </w:rPr>
              <w:t>2</w:t>
            </w:r>
            <w:r>
              <w:rPr>
                <w:rFonts w:hint="eastAsia" w:eastAsia="仿宋_GB2312"/>
                <w:color w:val="auto"/>
                <w:sz w:val="22"/>
                <w:highlight w:val="none"/>
              </w:rPr>
              <w:t>：通过第三方、第四方物流实现的仓储物流数字化，如覆盖下述场景也可勾选）</w:t>
            </w:r>
          </w:p>
          <w:p w14:paraId="04735765">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物料条码管理：统一条码管理标识货物</w:t>
            </w:r>
          </w:p>
          <w:p w14:paraId="55907AD3">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智能仓储：应用数字化技术，依据实际生产作业计划，实现物料自动入库（进厂）、盘库或出库（出厂）</w:t>
            </w:r>
          </w:p>
          <w:p w14:paraId="5CB8A42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精准配送：应用数字化技术，实现动态调度、自动配送或路径优化</w:t>
            </w:r>
          </w:p>
          <w:p w14:paraId="64D66DD0">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物料实时跟踪：应用制造执行系统（</w:t>
            </w:r>
            <w:r>
              <w:rPr>
                <w:rFonts w:eastAsia="仿宋_GB2312"/>
                <w:color w:val="auto"/>
                <w:sz w:val="22"/>
                <w:highlight w:val="none"/>
              </w:rPr>
              <w:t>MES</w:t>
            </w:r>
            <w:r>
              <w:rPr>
                <w:rFonts w:hint="eastAsia" w:eastAsia="仿宋_GB2312"/>
                <w:color w:val="auto"/>
                <w:sz w:val="22"/>
                <w:highlight w:val="none"/>
              </w:rPr>
              <w:t>）或仓储管理系统（</w:t>
            </w:r>
            <w:r>
              <w:rPr>
                <w:rFonts w:eastAsia="仿宋_GB2312"/>
                <w:color w:val="auto"/>
                <w:sz w:val="22"/>
                <w:highlight w:val="none"/>
              </w:rPr>
              <w:t>WMS</w:t>
            </w:r>
            <w:r>
              <w:rPr>
                <w:rFonts w:hint="eastAsia" w:eastAsia="仿宋_GB2312"/>
                <w:color w:val="auto"/>
                <w:sz w:val="22"/>
                <w:highlight w:val="none"/>
              </w:rPr>
              <w:t>），采用数字化技术，实现原材料、在制品或产成品流转的全程跟踪</w:t>
            </w:r>
          </w:p>
          <w:p w14:paraId="2DC7AE8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物流监测与优化：依托运输管理系统（</w:t>
            </w:r>
            <w:r>
              <w:rPr>
                <w:rFonts w:eastAsia="仿宋_GB2312"/>
                <w:color w:val="auto"/>
                <w:sz w:val="22"/>
                <w:highlight w:val="none"/>
              </w:rPr>
              <w:t>TMS</w:t>
            </w:r>
            <w:r>
              <w:rPr>
                <w:rFonts w:hint="eastAsia" w:eastAsia="仿宋_GB2312"/>
                <w:color w:val="auto"/>
                <w:sz w:val="22"/>
                <w:highlight w:val="none"/>
              </w:rPr>
              <w:t>），应用数字化技术，实现运输配送全程跟踪或异常预警，装载能力优化或配送路径优化</w:t>
            </w:r>
          </w:p>
          <w:p w14:paraId="0D056722">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61DA428">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094DA28B">
            <w:pPr>
              <w:pStyle w:val="16"/>
              <w:widowControl/>
              <w:spacing w:line="240" w:lineRule="auto"/>
              <w:rPr>
                <w:rFonts w:eastAsia="仿宋_GB2312"/>
                <w:color w:val="auto"/>
                <w:sz w:val="22"/>
                <w:highlight w:val="none"/>
              </w:rPr>
            </w:pPr>
          </w:p>
        </w:tc>
      </w:tr>
      <w:tr w14:paraId="306D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B0831">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26D24EF">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采购</w:t>
            </w:r>
          </w:p>
          <w:p w14:paraId="1C518CBB">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供应</w:t>
            </w:r>
          </w:p>
          <w:p w14:paraId="44E4E94E">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10%</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0F05F5AE">
            <w:pPr>
              <w:pStyle w:val="16"/>
              <w:widowControl/>
              <w:spacing w:line="240" w:lineRule="auto"/>
              <w:jc w:val="center"/>
              <w:rPr>
                <w:rFonts w:eastAsia="仿宋_GB2312"/>
                <w:color w:val="auto"/>
                <w:sz w:val="22"/>
                <w:highlight w:val="none"/>
              </w:rPr>
            </w:pPr>
            <w:r>
              <w:rPr>
                <w:rFonts w:eastAsia="仿宋_GB2312"/>
                <w:color w:val="auto"/>
                <w:sz w:val="22"/>
                <w:highlight w:val="none"/>
              </w:rPr>
              <w:t>14</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46CC0550">
            <w:pPr>
              <w:pStyle w:val="16"/>
              <w:widowControl/>
              <w:spacing w:line="240" w:lineRule="auto"/>
              <w:rPr>
                <w:rFonts w:eastAsia="仿宋_GB2312"/>
                <w:color w:val="auto"/>
                <w:sz w:val="22"/>
                <w:highlight w:val="none"/>
              </w:rPr>
            </w:pPr>
            <w:r>
              <w:rPr>
                <w:rFonts w:hint="eastAsia" w:eastAsia="仿宋_GB2312"/>
                <w:color w:val="auto"/>
                <w:sz w:val="22"/>
                <w:highlight w:val="none"/>
              </w:rPr>
              <w:t>采购供应环节：企业实现采购管理数字化场景的覆盖范围</w:t>
            </w:r>
          </w:p>
          <w:p w14:paraId="78601A5C">
            <w:pPr>
              <w:pStyle w:val="16"/>
              <w:widowControl/>
              <w:spacing w:line="240" w:lineRule="auto"/>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50%</w:t>
            </w:r>
            <w:r>
              <w:rPr>
                <w:rFonts w:hint="eastAsia" w:eastAsia="仿宋_GB2312"/>
                <w:color w:val="auto"/>
                <w:sz w:val="22"/>
                <w:highlight w:val="none"/>
              </w:rPr>
              <w:t>以上关键业务采购活动实现下列数字化场景即可勾选该项）</w:t>
            </w:r>
          </w:p>
          <w:p w14:paraId="1ECA33E5">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采购管理信息化：通过信息系统实现采购计划管理、采购过程管理和供应商管理</w:t>
            </w:r>
          </w:p>
          <w:p w14:paraId="491EE9A9">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采购策略优化：建设供应链管理系统（</w:t>
            </w:r>
            <w:r>
              <w:rPr>
                <w:rFonts w:eastAsia="仿宋_GB2312"/>
                <w:color w:val="auto"/>
                <w:sz w:val="22"/>
                <w:highlight w:val="none"/>
              </w:rPr>
              <w:t>SCM</w:t>
            </w:r>
            <w:r>
              <w:rPr>
                <w:rFonts w:hint="eastAsia" w:eastAsia="仿宋_GB2312"/>
                <w:color w:val="auto"/>
                <w:sz w:val="22"/>
                <w:highlight w:val="none"/>
              </w:rPr>
              <w:t>），集成数字化技术，实现供应商综合评价、采购需求精准决策或采购方案动态优化</w:t>
            </w:r>
          </w:p>
          <w:p w14:paraId="68633401">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供应链可视化：搭建供应链管理系统（</w:t>
            </w:r>
            <w:r>
              <w:rPr>
                <w:rFonts w:eastAsia="仿宋_GB2312"/>
                <w:color w:val="auto"/>
                <w:sz w:val="22"/>
                <w:highlight w:val="none"/>
              </w:rPr>
              <w:t>SCM</w:t>
            </w:r>
            <w:r>
              <w:rPr>
                <w:rFonts w:hint="eastAsia" w:eastAsia="仿宋_GB2312"/>
                <w:color w:val="auto"/>
                <w:sz w:val="22"/>
                <w:highlight w:val="none"/>
              </w:rPr>
              <w:t>），融合数字化技术，实现供应链可视化监控。</w:t>
            </w:r>
          </w:p>
          <w:p w14:paraId="4EF5C24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供应链风险预警与弹性管控：建立供应链管理系统（</w:t>
            </w:r>
            <w:r>
              <w:rPr>
                <w:rFonts w:eastAsia="仿宋_GB2312"/>
                <w:color w:val="auto"/>
                <w:sz w:val="22"/>
                <w:highlight w:val="none"/>
              </w:rPr>
              <w:t>SCM</w:t>
            </w:r>
            <w:r>
              <w:rPr>
                <w:rFonts w:hint="eastAsia" w:eastAsia="仿宋_GB2312"/>
                <w:color w:val="auto"/>
                <w:sz w:val="22"/>
                <w:highlight w:val="none"/>
              </w:rPr>
              <w:t>），集成数字化技术，开展供应链风险隐患识别、定位、预警或高效处置</w:t>
            </w:r>
          </w:p>
          <w:p w14:paraId="16C14A9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采购协同：利用数字化技术实现采购供应与相关业务的协同，包括业务配合同步、质量与规范同步、结算对账同步、库存与计划同步等</w:t>
            </w:r>
          </w:p>
          <w:p w14:paraId="5001A46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FB1211A">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36BC2FD2">
            <w:pPr>
              <w:pStyle w:val="16"/>
              <w:widowControl/>
              <w:spacing w:line="240" w:lineRule="auto"/>
              <w:rPr>
                <w:rFonts w:eastAsia="仿宋_GB2312"/>
                <w:color w:val="auto"/>
                <w:sz w:val="22"/>
                <w:highlight w:val="none"/>
              </w:rPr>
            </w:pPr>
          </w:p>
        </w:tc>
      </w:tr>
      <w:tr w14:paraId="5D99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740F3">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B1F58CF">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营销</w:t>
            </w:r>
          </w:p>
          <w:p w14:paraId="4976A047">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管理</w:t>
            </w:r>
          </w:p>
          <w:p w14:paraId="6C7C71B2">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10%</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019E2403">
            <w:pPr>
              <w:pStyle w:val="16"/>
              <w:widowControl/>
              <w:spacing w:line="240" w:lineRule="auto"/>
              <w:jc w:val="center"/>
              <w:rPr>
                <w:rFonts w:eastAsia="仿宋_GB2312"/>
                <w:color w:val="auto"/>
                <w:sz w:val="22"/>
                <w:highlight w:val="none"/>
              </w:rPr>
            </w:pPr>
            <w:r>
              <w:rPr>
                <w:rFonts w:eastAsia="仿宋_GB2312"/>
                <w:color w:val="auto"/>
                <w:sz w:val="22"/>
                <w:highlight w:val="none"/>
              </w:rPr>
              <w:t>15</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794D779D">
            <w:pPr>
              <w:pStyle w:val="16"/>
              <w:widowControl/>
              <w:spacing w:line="240" w:lineRule="auto"/>
              <w:rPr>
                <w:rFonts w:eastAsia="仿宋_GB2312"/>
                <w:color w:val="auto"/>
                <w:sz w:val="22"/>
                <w:highlight w:val="none"/>
              </w:rPr>
            </w:pPr>
            <w:r>
              <w:rPr>
                <w:rFonts w:hint="eastAsia" w:eastAsia="仿宋_GB2312"/>
                <w:color w:val="auto"/>
                <w:sz w:val="22"/>
                <w:highlight w:val="none"/>
              </w:rPr>
              <w:t>营销管理环节，企业实现营销管理数字化场景的覆盖范围</w:t>
            </w:r>
          </w:p>
          <w:p w14:paraId="53E69C30">
            <w:pPr>
              <w:pStyle w:val="16"/>
              <w:widowControl/>
              <w:spacing w:line="240" w:lineRule="auto"/>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50%</w:t>
            </w:r>
            <w:r>
              <w:rPr>
                <w:rFonts w:hint="eastAsia" w:eastAsia="仿宋_GB2312"/>
                <w:color w:val="auto"/>
                <w:sz w:val="22"/>
                <w:highlight w:val="none"/>
              </w:rPr>
              <w:t>以上关键业务市场营销实现下列数字化场景即可勾选该项）</w:t>
            </w:r>
          </w:p>
          <w:p w14:paraId="0EB4FF43">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销售计划动态优化：依托客户关系管理系统（</w:t>
            </w:r>
            <w:r>
              <w:rPr>
                <w:rFonts w:eastAsia="仿宋_GB2312"/>
                <w:color w:val="auto"/>
                <w:sz w:val="22"/>
                <w:highlight w:val="none"/>
              </w:rPr>
              <w:t>CRM</w:t>
            </w:r>
            <w:r>
              <w:rPr>
                <w:rFonts w:hint="eastAsia" w:eastAsia="仿宋_GB2312"/>
                <w:color w:val="auto"/>
                <w:sz w:val="22"/>
                <w:highlight w:val="none"/>
              </w:rPr>
              <w:t>），应用数字化技术，实现挖掘分析客户信息、构建用户画像、构建需求预测模型或制定精准销售计划</w:t>
            </w:r>
          </w:p>
          <w:p w14:paraId="0D8F979D">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市场快速分析预测：应用数字化技术，实现对市场未来供求趋势、影响因素或其变化规律的精准分析、判断或预测</w:t>
            </w:r>
          </w:p>
          <w:p w14:paraId="0C4FAE48">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销售驱动业务优化：应用数字化技术，根据客户需求变化，动态调整设计采购、生产或物流等方案</w:t>
            </w:r>
          </w:p>
          <w:p w14:paraId="6412C48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C330E26">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0B28E29C">
            <w:pPr>
              <w:pStyle w:val="16"/>
              <w:widowControl/>
              <w:spacing w:line="240" w:lineRule="auto"/>
              <w:rPr>
                <w:rFonts w:eastAsia="仿宋_GB2312"/>
                <w:color w:val="auto"/>
                <w:sz w:val="22"/>
                <w:highlight w:val="none"/>
              </w:rPr>
            </w:pPr>
          </w:p>
        </w:tc>
      </w:tr>
      <w:tr w14:paraId="3881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AD6C2">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2B6A83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产品</w:t>
            </w:r>
          </w:p>
          <w:p w14:paraId="3FFF38BB">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服务</w:t>
            </w:r>
          </w:p>
          <w:p w14:paraId="69ED495D">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14%</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2B10702F">
            <w:pPr>
              <w:pStyle w:val="16"/>
              <w:widowControl/>
              <w:spacing w:line="240" w:lineRule="auto"/>
              <w:jc w:val="center"/>
              <w:rPr>
                <w:rFonts w:eastAsia="仿宋_GB2312"/>
                <w:color w:val="auto"/>
                <w:sz w:val="22"/>
                <w:highlight w:val="none"/>
              </w:rPr>
            </w:pPr>
            <w:r>
              <w:rPr>
                <w:rFonts w:eastAsia="仿宋_GB2312"/>
                <w:color w:val="auto"/>
                <w:sz w:val="22"/>
                <w:highlight w:val="none"/>
              </w:rPr>
              <w:t>16</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7CBF3D6C">
            <w:pPr>
              <w:pStyle w:val="16"/>
              <w:widowControl/>
              <w:spacing w:line="240" w:lineRule="auto"/>
              <w:rPr>
                <w:rFonts w:eastAsia="仿宋_GB2312"/>
                <w:color w:val="auto"/>
                <w:sz w:val="22"/>
                <w:highlight w:val="none"/>
              </w:rPr>
            </w:pPr>
            <w:r>
              <w:rPr>
                <w:rFonts w:hint="eastAsia" w:eastAsia="仿宋_GB2312"/>
                <w:color w:val="auto"/>
                <w:sz w:val="22"/>
                <w:highlight w:val="none"/>
              </w:rPr>
              <w:t>产品服务环节，企业实现产品服务数字化场景的覆盖范围</w:t>
            </w:r>
          </w:p>
          <w:p w14:paraId="17A5F9E2">
            <w:pPr>
              <w:pStyle w:val="16"/>
              <w:widowControl/>
              <w:spacing w:line="240" w:lineRule="auto"/>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1</w:t>
            </w:r>
            <w:r>
              <w:rPr>
                <w:rFonts w:hint="eastAsia" w:eastAsia="仿宋_GB2312"/>
                <w:color w:val="auto"/>
                <w:sz w:val="22"/>
                <w:highlight w:val="none"/>
              </w:rPr>
              <w:t>）利用信息系统实现售后服务数字化管理的情况（</w:t>
            </w:r>
            <w:r>
              <w:rPr>
                <w:rFonts w:eastAsia="仿宋_GB2312"/>
                <w:color w:val="auto"/>
                <w:sz w:val="22"/>
                <w:highlight w:val="none"/>
              </w:rPr>
              <w:t>50%</w:t>
            </w:r>
            <w:r>
              <w:rPr>
                <w:rFonts w:hint="eastAsia" w:eastAsia="仿宋_GB2312"/>
                <w:color w:val="auto"/>
                <w:sz w:val="22"/>
                <w:highlight w:val="none"/>
              </w:rPr>
              <w:t>以上关键产品售后服务实现下列数字化场景即可勾选该项）</w:t>
            </w:r>
          </w:p>
          <w:p w14:paraId="7E234817">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退换货质量管理</w:t>
            </w:r>
            <w:r>
              <w:rPr>
                <w:rFonts w:eastAsia="仿宋_GB2312"/>
                <w:color w:val="auto"/>
                <w:sz w:val="22"/>
                <w:highlight w:val="none"/>
              </w:rPr>
              <w:t xml:space="preserve"> </w:t>
            </w:r>
          </w:p>
          <w:p w14:paraId="320EE3DB">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客户体验调查</w:t>
            </w:r>
            <w:r>
              <w:rPr>
                <w:rFonts w:eastAsia="仿宋_GB2312"/>
                <w:color w:val="auto"/>
                <w:sz w:val="22"/>
                <w:highlight w:val="none"/>
              </w:rPr>
              <w:t xml:space="preserve"> </w:t>
            </w:r>
          </w:p>
          <w:p w14:paraId="3B894448">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客户满意度调查</w:t>
            </w:r>
            <w:r>
              <w:rPr>
                <w:rFonts w:eastAsia="仿宋_GB2312"/>
                <w:color w:val="auto"/>
                <w:sz w:val="22"/>
                <w:highlight w:val="none"/>
              </w:rPr>
              <w:t xml:space="preserve"> </w:t>
            </w:r>
          </w:p>
          <w:p w14:paraId="1F447398">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p w14:paraId="59B48697">
            <w:pPr>
              <w:pStyle w:val="16"/>
              <w:widowControl/>
              <w:spacing w:line="240" w:lineRule="auto"/>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w:t>
            </w:r>
            <w:r>
              <w:rPr>
                <w:rFonts w:hint="eastAsia" w:eastAsia="仿宋_GB2312"/>
                <w:color w:val="auto"/>
                <w:sz w:val="22"/>
                <w:highlight w:val="none"/>
              </w:rPr>
              <w:t>）利用数字化技术实现售后服务与相关业务的协同情况（</w:t>
            </w:r>
            <w:r>
              <w:rPr>
                <w:rFonts w:eastAsia="仿宋_GB2312"/>
                <w:color w:val="auto"/>
                <w:sz w:val="22"/>
                <w:highlight w:val="none"/>
              </w:rPr>
              <w:t>50%</w:t>
            </w:r>
            <w:r>
              <w:rPr>
                <w:rFonts w:hint="eastAsia" w:eastAsia="仿宋_GB2312"/>
                <w:color w:val="auto"/>
                <w:sz w:val="22"/>
                <w:highlight w:val="none"/>
              </w:rPr>
              <w:t>以上关键产品售后服务实现下列数字化场景即可勾选该项）</w:t>
            </w:r>
          </w:p>
          <w:p w14:paraId="362B1B90">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售后配件与库存协同</w:t>
            </w:r>
            <w:r>
              <w:rPr>
                <w:rFonts w:eastAsia="仿宋_GB2312"/>
                <w:color w:val="auto"/>
                <w:sz w:val="22"/>
                <w:highlight w:val="none"/>
              </w:rPr>
              <w:t xml:space="preserve"> </w:t>
            </w:r>
          </w:p>
          <w:p w14:paraId="6E949406">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失效产品追溯与质量根因分析</w:t>
            </w:r>
          </w:p>
          <w:p w14:paraId="7099A82A">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失效原因与设计优化协同</w:t>
            </w:r>
            <w:r>
              <w:rPr>
                <w:rFonts w:eastAsia="仿宋_GB2312"/>
                <w:color w:val="auto"/>
                <w:sz w:val="22"/>
                <w:highlight w:val="none"/>
              </w:rPr>
              <w:t xml:space="preserve"> </w:t>
            </w:r>
          </w:p>
          <w:p w14:paraId="59A7B5D6">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p w14:paraId="51003AFD">
            <w:pPr>
              <w:pStyle w:val="16"/>
              <w:widowControl/>
              <w:spacing w:line="240" w:lineRule="auto"/>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3</w:t>
            </w:r>
            <w:r>
              <w:rPr>
                <w:rFonts w:hint="eastAsia" w:eastAsia="仿宋_GB2312"/>
                <w:color w:val="auto"/>
                <w:sz w:val="22"/>
                <w:highlight w:val="none"/>
              </w:rPr>
              <w:t>）新一代信息技术在新型智能产品中应用场景的覆盖范围（某一种或几种关键产品实现下列数字化场景即可勾选该项）</w:t>
            </w:r>
          </w:p>
          <w:p w14:paraId="5E226456">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数据增值服务：分析产品的运行工况等数据，应用数字化技术，提供设备估值、融资租赁、资产处置等新业务</w:t>
            </w:r>
          </w:p>
          <w:p w14:paraId="0A28712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主动客户服务：依托客户关系管理系统（</w:t>
            </w:r>
            <w:r>
              <w:rPr>
                <w:rFonts w:eastAsia="仿宋_GB2312"/>
                <w:color w:val="auto"/>
                <w:sz w:val="22"/>
                <w:highlight w:val="none"/>
              </w:rPr>
              <w:t>CRM</w:t>
            </w:r>
            <w:r>
              <w:rPr>
                <w:rFonts w:hint="eastAsia" w:eastAsia="仿宋_GB2312"/>
                <w:color w:val="auto"/>
                <w:sz w:val="22"/>
                <w:highlight w:val="none"/>
              </w:rPr>
              <w:t>），集成数字化技术，实现精细化管理或主动式客户服务</w:t>
            </w:r>
          </w:p>
          <w:p w14:paraId="7599DBE9">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用户直连制造：通过用户和企业的深度交互，提供满足个性化需求的产品定制设计、柔性化生产或个性化服务</w:t>
            </w:r>
          </w:p>
          <w:p w14:paraId="190FE57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大批量定制：通过生产柔性化、敏捷化或产品模块化，根据客户的个性化需求，以大批量生产方式提供定制化的产品和服务</w:t>
            </w:r>
          </w:p>
          <w:p w14:paraId="5360C656">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产品的远程运维：依托产品远程运维管理平台，实现基于运行数据的产品远程监控、预测性维护或产品设计的持续改进</w:t>
            </w:r>
          </w:p>
          <w:p w14:paraId="18D0FC01">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0196A01">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1C4CA1ED">
            <w:pPr>
              <w:pStyle w:val="16"/>
              <w:widowControl/>
              <w:spacing w:line="240" w:lineRule="auto"/>
              <w:rPr>
                <w:rFonts w:eastAsia="仿宋_GB2312"/>
                <w:color w:val="auto"/>
                <w:sz w:val="22"/>
                <w:highlight w:val="none"/>
              </w:rPr>
            </w:pPr>
          </w:p>
        </w:tc>
      </w:tr>
      <w:tr w14:paraId="6658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EDCE2">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D815052">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业务</w:t>
            </w:r>
          </w:p>
          <w:p w14:paraId="1FFB1FF5">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协同</w:t>
            </w:r>
          </w:p>
          <w:p w14:paraId="676C9243">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10%</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0EFD4112">
            <w:pPr>
              <w:pStyle w:val="16"/>
              <w:widowControl/>
              <w:spacing w:line="240" w:lineRule="auto"/>
              <w:jc w:val="center"/>
              <w:rPr>
                <w:rFonts w:eastAsia="仿宋_GB2312"/>
                <w:color w:val="auto"/>
                <w:sz w:val="22"/>
                <w:highlight w:val="none"/>
              </w:rPr>
            </w:pPr>
            <w:r>
              <w:rPr>
                <w:rFonts w:eastAsia="仿宋_GB2312"/>
                <w:color w:val="auto"/>
                <w:sz w:val="22"/>
                <w:highlight w:val="none"/>
              </w:rPr>
              <w:t>17</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51AA0838">
            <w:pPr>
              <w:pStyle w:val="16"/>
              <w:widowControl/>
              <w:spacing w:line="240" w:lineRule="auto"/>
              <w:rPr>
                <w:rFonts w:eastAsia="仿宋_GB2312"/>
                <w:color w:val="auto"/>
                <w:sz w:val="22"/>
                <w:highlight w:val="none"/>
              </w:rPr>
            </w:pPr>
            <w:r>
              <w:rPr>
                <w:rFonts w:hint="eastAsia" w:eastAsia="仿宋_GB2312"/>
                <w:color w:val="auto"/>
                <w:sz w:val="22"/>
                <w:highlight w:val="none"/>
              </w:rPr>
              <w:t>业务协同方面，企业使用数字化技术实现企业间业务协同数字化场景的覆盖范围</w:t>
            </w:r>
          </w:p>
          <w:p w14:paraId="2553202B">
            <w:pPr>
              <w:pStyle w:val="16"/>
              <w:widowControl/>
              <w:spacing w:line="240" w:lineRule="auto"/>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50%</w:t>
            </w:r>
            <w:r>
              <w:rPr>
                <w:rFonts w:hint="eastAsia" w:eastAsia="仿宋_GB2312"/>
                <w:color w:val="auto"/>
                <w:sz w:val="22"/>
                <w:highlight w:val="none"/>
              </w:rPr>
              <w:t>以上关键业务客户、上游供应企业或合作伙伴使用数字化技术实现下列数字化场景即可勾选该项）</w:t>
            </w:r>
          </w:p>
          <w:p w14:paraId="1283A9F7">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实现研发设计协同</w:t>
            </w:r>
            <w:r>
              <w:rPr>
                <w:rFonts w:eastAsia="仿宋_GB2312"/>
                <w:color w:val="auto"/>
                <w:sz w:val="22"/>
                <w:highlight w:val="none"/>
              </w:rPr>
              <w:t xml:space="preserve"> </w:t>
            </w:r>
          </w:p>
          <w:p w14:paraId="01DFC378">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实现生产制造协同</w:t>
            </w:r>
            <w:r>
              <w:rPr>
                <w:rFonts w:eastAsia="仿宋_GB2312"/>
                <w:color w:val="auto"/>
                <w:sz w:val="22"/>
                <w:highlight w:val="none"/>
              </w:rPr>
              <w:t xml:space="preserve"> </w:t>
            </w:r>
          </w:p>
          <w:p w14:paraId="241AE64D">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实现订货业务协同</w:t>
            </w:r>
            <w:r>
              <w:rPr>
                <w:rFonts w:eastAsia="仿宋_GB2312"/>
                <w:color w:val="auto"/>
                <w:sz w:val="22"/>
                <w:highlight w:val="none"/>
              </w:rPr>
              <w:t xml:space="preserve"> </w:t>
            </w:r>
          </w:p>
          <w:p w14:paraId="4A4FEDB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实现物流仓储协同</w:t>
            </w:r>
            <w:r>
              <w:rPr>
                <w:rFonts w:eastAsia="仿宋_GB2312"/>
                <w:color w:val="auto"/>
                <w:sz w:val="22"/>
                <w:highlight w:val="none"/>
              </w:rPr>
              <w:t xml:space="preserve"> </w:t>
            </w:r>
          </w:p>
          <w:p w14:paraId="63BB3DC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实现财务结算协同</w:t>
            </w:r>
            <w:r>
              <w:rPr>
                <w:rFonts w:eastAsia="仿宋_GB2312"/>
                <w:color w:val="auto"/>
                <w:sz w:val="22"/>
                <w:highlight w:val="none"/>
              </w:rPr>
              <w:t xml:space="preserve"> </w:t>
            </w:r>
          </w:p>
          <w:p w14:paraId="6D149399">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r>
              <w:rPr>
                <w:rFonts w:eastAsia="仿宋_GB2312"/>
                <w:color w:val="auto"/>
                <w:sz w:val="22"/>
                <w:highlight w:val="none"/>
              </w:rPr>
              <w:t xml:space="preserve"> </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58A22DE">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3546EB55">
            <w:pPr>
              <w:pStyle w:val="16"/>
              <w:widowControl/>
              <w:spacing w:line="240" w:lineRule="auto"/>
              <w:rPr>
                <w:rFonts w:eastAsia="仿宋_GB2312"/>
                <w:color w:val="auto"/>
                <w:sz w:val="22"/>
                <w:highlight w:val="none"/>
              </w:rPr>
            </w:pPr>
          </w:p>
        </w:tc>
      </w:tr>
      <w:tr w14:paraId="0A52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D3D461">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三、</w:t>
            </w:r>
          </w:p>
          <w:p w14:paraId="41628876">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数字化管理</w:t>
            </w:r>
          </w:p>
          <w:p w14:paraId="39E57CC7">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20%</w:t>
            </w:r>
            <w:r>
              <w:rPr>
                <w:rFonts w:hint="eastAsia" w:eastAsia="仿宋_GB2312"/>
                <w:color w:val="auto"/>
                <w:sz w:val="22"/>
                <w:highlight w:val="none"/>
              </w:rPr>
              <w:t>）</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22504B8">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经营</w:t>
            </w:r>
          </w:p>
          <w:p w14:paraId="187861AB">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战略</w:t>
            </w:r>
          </w:p>
          <w:p w14:paraId="3F228B35">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15%</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34111AA3">
            <w:pPr>
              <w:pStyle w:val="16"/>
              <w:widowControl/>
              <w:spacing w:line="240" w:lineRule="auto"/>
              <w:jc w:val="center"/>
              <w:rPr>
                <w:rFonts w:eastAsia="仿宋_GB2312"/>
                <w:color w:val="auto"/>
                <w:sz w:val="22"/>
                <w:highlight w:val="none"/>
              </w:rPr>
            </w:pPr>
            <w:r>
              <w:rPr>
                <w:rFonts w:eastAsia="仿宋_GB2312"/>
                <w:color w:val="auto"/>
                <w:sz w:val="22"/>
                <w:highlight w:val="none"/>
              </w:rPr>
              <w:t>18</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276FA533">
            <w:pPr>
              <w:pStyle w:val="16"/>
              <w:widowControl/>
              <w:spacing w:line="240" w:lineRule="auto"/>
              <w:rPr>
                <w:rFonts w:eastAsia="仿宋_GB2312"/>
                <w:color w:val="auto"/>
                <w:sz w:val="22"/>
                <w:highlight w:val="none"/>
              </w:rPr>
            </w:pPr>
            <w:r>
              <w:rPr>
                <w:rFonts w:hint="eastAsia" w:eastAsia="仿宋_GB2312"/>
                <w:color w:val="auto"/>
                <w:sz w:val="22"/>
                <w:highlight w:val="none"/>
              </w:rPr>
              <w:t>企业数字化转型意识与执行水平情况</w:t>
            </w:r>
          </w:p>
          <w:p w14:paraId="5452310D">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已经对数字化转型有了明确的目标（至少半年为期）</w:t>
            </w:r>
          </w:p>
          <w:p w14:paraId="54AD4F3B">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已制定了数字化转型规划及具体的实施计划</w:t>
            </w:r>
          </w:p>
          <w:p w14:paraId="1C5BB340">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已基于战略规划开展业务模式和管理决策方式的变革实践</w:t>
            </w:r>
          </w:p>
          <w:p w14:paraId="55993FB2">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D2FF388">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3AF8879B">
            <w:pPr>
              <w:pStyle w:val="16"/>
              <w:widowControl/>
              <w:spacing w:line="240" w:lineRule="auto"/>
              <w:rPr>
                <w:rFonts w:eastAsia="仿宋_GB2312"/>
                <w:color w:val="auto"/>
                <w:sz w:val="22"/>
                <w:highlight w:val="none"/>
              </w:rPr>
            </w:pPr>
          </w:p>
        </w:tc>
      </w:tr>
      <w:tr w14:paraId="66C1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A7DAD">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B5C0280">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管理</w:t>
            </w:r>
          </w:p>
          <w:p w14:paraId="5719F57B">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机制</w:t>
            </w:r>
          </w:p>
          <w:p w14:paraId="462675E8">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35%</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42E9C17A">
            <w:pPr>
              <w:pStyle w:val="16"/>
              <w:widowControl/>
              <w:spacing w:line="240" w:lineRule="auto"/>
              <w:jc w:val="center"/>
              <w:rPr>
                <w:rFonts w:eastAsia="仿宋_GB2312"/>
                <w:color w:val="auto"/>
                <w:sz w:val="22"/>
                <w:highlight w:val="none"/>
              </w:rPr>
            </w:pPr>
            <w:r>
              <w:rPr>
                <w:rFonts w:eastAsia="仿宋_GB2312"/>
                <w:color w:val="auto"/>
                <w:sz w:val="22"/>
                <w:highlight w:val="none"/>
              </w:rPr>
              <w:t>19</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178CE76E">
            <w:pPr>
              <w:pStyle w:val="16"/>
              <w:widowControl/>
              <w:spacing w:line="240" w:lineRule="auto"/>
              <w:rPr>
                <w:rFonts w:eastAsia="仿宋_GB2312"/>
                <w:color w:val="auto"/>
                <w:sz w:val="22"/>
                <w:highlight w:val="none"/>
              </w:rPr>
            </w:pPr>
            <w:r>
              <w:rPr>
                <w:rFonts w:hint="eastAsia" w:eastAsia="仿宋_GB2312"/>
                <w:color w:val="auto"/>
                <w:sz w:val="22"/>
                <w:highlight w:val="none"/>
              </w:rPr>
              <w:t>企业在设置数字化组织与管理制度等方面采取的措施</w:t>
            </w:r>
          </w:p>
          <w:p w14:paraId="61A5ED8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设置专门的数字化人员岗位或部门</w:t>
            </w:r>
            <w:r>
              <w:rPr>
                <w:rFonts w:eastAsia="仿宋_GB2312"/>
                <w:color w:val="auto"/>
                <w:sz w:val="22"/>
                <w:highlight w:val="none"/>
              </w:rPr>
              <w:t xml:space="preserve"> </w:t>
            </w:r>
          </w:p>
          <w:p w14:paraId="178C357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为数字化人才设立专门的绩效薪酬体系</w:t>
            </w:r>
            <w:r>
              <w:rPr>
                <w:rFonts w:eastAsia="仿宋_GB2312"/>
                <w:color w:val="auto"/>
                <w:sz w:val="22"/>
                <w:highlight w:val="none"/>
              </w:rPr>
              <w:t xml:space="preserve"> </w:t>
            </w:r>
          </w:p>
          <w:p w14:paraId="16E8CB8F">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对数字化收支单独建账核算</w:t>
            </w:r>
            <w:r>
              <w:rPr>
                <w:rFonts w:eastAsia="仿宋_GB2312"/>
                <w:color w:val="auto"/>
                <w:sz w:val="22"/>
                <w:highlight w:val="none"/>
              </w:rPr>
              <w:t xml:space="preserve"> </w:t>
            </w:r>
          </w:p>
          <w:p w14:paraId="54D3BE49">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建立数字化信息系统管理相关制度规范</w:t>
            </w:r>
            <w:r>
              <w:rPr>
                <w:rFonts w:eastAsia="仿宋_GB2312"/>
                <w:color w:val="auto"/>
                <w:sz w:val="22"/>
                <w:highlight w:val="none"/>
              </w:rPr>
              <w:t xml:space="preserve"> </w:t>
            </w:r>
          </w:p>
          <w:p w14:paraId="484ADA51">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r>
              <w:rPr>
                <w:rFonts w:eastAsia="仿宋_GB2312"/>
                <w:color w:val="auto"/>
                <w:sz w:val="22"/>
                <w:highlight w:val="none"/>
              </w:rPr>
              <w:t xml:space="preserve"> </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38BD924">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778401B4">
            <w:pPr>
              <w:pStyle w:val="16"/>
              <w:widowControl/>
              <w:spacing w:line="240" w:lineRule="auto"/>
              <w:rPr>
                <w:rFonts w:eastAsia="仿宋_GB2312"/>
                <w:color w:val="auto"/>
                <w:sz w:val="22"/>
                <w:highlight w:val="none"/>
              </w:rPr>
            </w:pPr>
          </w:p>
        </w:tc>
      </w:tr>
      <w:tr w14:paraId="06E0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5130A">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044394A">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人才</w:t>
            </w:r>
          </w:p>
          <w:p w14:paraId="005B3BD8">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建设</w:t>
            </w:r>
          </w:p>
          <w:p w14:paraId="4C86ECD2">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25%</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45C05B08">
            <w:pPr>
              <w:pStyle w:val="16"/>
              <w:widowControl/>
              <w:spacing w:line="240" w:lineRule="auto"/>
              <w:jc w:val="center"/>
              <w:rPr>
                <w:rFonts w:eastAsia="仿宋_GB2312"/>
                <w:color w:val="auto"/>
                <w:sz w:val="22"/>
                <w:highlight w:val="none"/>
              </w:rPr>
            </w:pPr>
            <w:r>
              <w:rPr>
                <w:rFonts w:eastAsia="仿宋_GB2312"/>
                <w:color w:val="auto"/>
                <w:sz w:val="22"/>
                <w:highlight w:val="none"/>
              </w:rPr>
              <w:t>20</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75F50366">
            <w:pPr>
              <w:pStyle w:val="16"/>
              <w:widowControl/>
              <w:spacing w:line="240" w:lineRule="auto"/>
              <w:rPr>
                <w:rFonts w:eastAsia="仿宋_GB2312"/>
                <w:color w:val="auto"/>
                <w:sz w:val="22"/>
                <w:highlight w:val="none"/>
              </w:rPr>
            </w:pPr>
            <w:r>
              <w:rPr>
                <w:rFonts w:hint="eastAsia" w:eastAsia="仿宋_GB2312"/>
                <w:color w:val="auto"/>
                <w:sz w:val="22"/>
                <w:highlight w:val="none"/>
              </w:rPr>
              <w:t>企业在数字化方面培训覆盖的人员范围</w:t>
            </w:r>
          </w:p>
          <w:p w14:paraId="34038D75">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信息化部门员工</w:t>
            </w:r>
            <w:r>
              <w:rPr>
                <w:rFonts w:eastAsia="仿宋_GB2312"/>
                <w:color w:val="auto"/>
                <w:sz w:val="22"/>
                <w:highlight w:val="none"/>
              </w:rPr>
              <w:t xml:space="preserve"> </w:t>
            </w:r>
          </w:p>
          <w:p w14:paraId="51CA9D06">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业务部门员工</w:t>
            </w:r>
            <w:r>
              <w:rPr>
                <w:rFonts w:eastAsia="仿宋_GB2312"/>
                <w:color w:val="auto"/>
                <w:sz w:val="22"/>
                <w:highlight w:val="none"/>
              </w:rPr>
              <w:t xml:space="preserve"> </w:t>
            </w:r>
          </w:p>
          <w:p w14:paraId="76D7335C">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企业主要决策人员</w:t>
            </w:r>
            <w:r>
              <w:rPr>
                <w:rFonts w:eastAsia="仿宋_GB2312"/>
                <w:color w:val="auto"/>
                <w:sz w:val="22"/>
                <w:highlight w:val="none"/>
              </w:rPr>
              <w:t xml:space="preserve"> </w:t>
            </w:r>
          </w:p>
          <w:p w14:paraId="0DC7B831">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其他员工</w:t>
            </w:r>
          </w:p>
          <w:p w14:paraId="60CC421F">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以上均无</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293EDDA">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1703CA7F">
            <w:pPr>
              <w:pStyle w:val="16"/>
              <w:widowControl/>
              <w:spacing w:line="240" w:lineRule="auto"/>
              <w:rPr>
                <w:rFonts w:eastAsia="仿宋_GB2312"/>
                <w:color w:val="auto"/>
                <w:sz w:val="22"/>
                <w:highlight w:val="none"/>
              </w:rPr>
            </w:pPr>
          </w:p>
        </w:tc>
      </w:tr>
      <w:tr w14:paraId="4B44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B255A">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7F9642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资金</w:t>
            </w:r>
          </w:p>
          <w:p w14:paraId="6436149E">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投入</w:t>
            </w:r>
          </w:p>
          <w:p w14:paraId="073E75B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25%</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4235EFBB">
            <w:pPr>
              <w:pStyle w:val="16"/>
              <w:widowControl/>
              <w:spacing w:line="240" w:lineRule="auto"/>
              <w:jc w:val="center"/>
              <w:rPr>
                <w:rFonts w:eastAsia="仿宋_GB2312"/>
                <w:color w:val="auto"/>
                <w:sz w:val="22"/>
                <w:highlight w:val="none"/>
              </w:rPr>
            </w:pPr>
            <w:r>
              <w:rPr>
                <w:rFonts w:eastAsia="仿宋_GB2312"/>
                <w:color w:val="auto"/>
                <w:sz w:val="22"/>
                <w:highlight w:val="none"/>
              </w:rPr>
              <w:t>21</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7E656F68">
            <w:pPr>
              <w:pStyle w:val="16"/>
              <w:widowControl/>
              <w:spacing w:line="240" w:lineRule="auto"/>
              <w:rPr>
                <w:rFonts w:eastAsia="仿宋_GB2312"/>
                <w:color w:val="auto"/>
                <w:sz w:val="22"/>
                <w:highlight w:val="none"/>
              </w:rPr>
            </w:pPr>
            <w:r>
              <w:rPr>
                <w:rFonts w:hint="eastAsia" w:eastAsia="仿宋_GB2312"/>
                <w:color w:val="auto"/>
                <w:sz w:val="22"/>
                <w:highlight w:val="none"/>
              </w:rPr>
              <w:t>企业上年度数字化投入占营业收入的比重</w:t>
            </w:r>
          </w:p>
          <w:p w14:paraId="1372CAD2">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小于</w:t>
            </w:r>
            <w:r>
              <w:rPr>
                <w:rFonts w:eastAsia="仿宋_GB2312"/>
                <w:color w:val="auto"/>
                <w:sz w:val="22"/>
                <w:highlight w:val="none"/>
              </w:rPr>
              <w:t xml:space="preserve">1% </w:t>
            </w:r>
          </w:p>
          <w:p w14:paraId="743CBBB0">
            <w:pPr>
              <w:pStyle w:val="16"/>
              <w:widowControl/>
              <w:spacing w:line="240" w:lineRule="auto"/>
              <w:rPr>
                <w:rFonts w:eastAsia="仿宋_GB2312"/>
                <w:color w:val="auto"/>
                <w:sz w:val="22"/>
                <w:highlight w:val="none"/>
              </w:rPr>
            </w:pPr>
            <w:r>
              <w:rPr>
                <w:rFonts w:eastAsia="仿宋_GB2312"/>
                <w:color w:val="auto"/>
                <w:sz w:val="22"/>
                <w:highlight w:val="none"/>
              </w:rPr>
              <w:t xml:space="preserve">□[1%,2%) </w:t>
            </w:r>
          </w:p>
          <w:p w14:paraId="248F5472">
            <w:pPr>
              <w:pStyle w:val="16"/>
              <w:widowControl/>
              <w:spacing w:line="240" w:lineRule="auto"/>
              <w:rPr>
                <w:rFonts w:eastAsia="仿宋_GB2312"/>
                <w:color w:val="auto"/>
                <w:sz w:val="22"/>
                <w:highlight w:val="none"/>
              </w:rPr>
            </w:pPr>
            <w:r>
              <w:rPr>
                <w:rFonts w:eastAsia="仿宋_GB2312"/>
                <w:color w:val="auto"/>
                <w:sz w:val="22"/>
                <w:highlight w:val="none"/>
              </w:rPr>
              <w:t xml:space="preserve">□[2%,3%) </w:t>
            </w:r>
          </w:p>
          <w:p w14:paraId="3C34610D">
            <w:pPr>
              <w:pStyle w:val="16"/>
              <w:widowControl/>
              <w:spacing w:line="240" w:lineRule="auto"/>
              <w:rPr>
                <w:rFonts w:eastAsia="仿宋_GB2312"/>
                <w:color w:val="auto"/>
                <w:sz w:val="22"/>
                <w:highlight w:val="none"/>
              </w:rPr>
            </w:pPr>
            <w:r>
              <w:rPr>
                <w:rFonts w:eastAsia="仿宋_GB2312"/>
                <w:color w:val="auto"/>
                <w:sz w:val="22"/>
                <w:highlight w:val="none"/>
              </w:rPr>
              <w:t xml:space="preserve">□[3%,5%] </w:t>
            </w:r>
          </w:p>
          <w:p w14:paraId="59965A36">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大于</w:t>
            </w:r>
            <w:r>
              <w:rPr>
                <w:rFonts w:eastAsia="仿宋_GB2312"/>
                <w:color w:val="auto"/>
                <w:sz w:val="22"/>
                <w:highlight w:val="none"/>
              </w:rPr>
              <w:t>5%</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9EB24CB">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191C474B">
            <w:pPr>
              <w:pStyle w:val="16"/>
              <w:widowControl/>
              <w:spacing w:line="240" w:lineRule="auto"/>
              <w:rPr>
                <w:rFonts w:eastAsia="仿宋_GB2312"/>
                <w:color w:val="auto"/>
                <w:sz w:val="22"/>
                <w:highlight w:val="none"/>
              </w:rPr>
            </w:pPr>
          </w:p>
        </w:tc>
      </w:tr>
      <w:tr w14:paraId="76C8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06A34">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四、</w:t>
            </w:r>
          </w:p>
          <w:p w14:paraId="7DC01146">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数字化成效</w:t>
            </w:r>
          </w:p>
          <w:p w14:paraId="0F715FA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10%</w:t>
            </w:r>
            <w:r>
              <w:rPr>
                <w:rFonts w:hint="eastAsia" w:eastAsia="仿宋_GB2312"/>
                <w:color w:val="auto"/>
                <w:sz w:val="22"/>
                <w:highlight w:val="none"/>
              </w:rPr>
              <w:t>）</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28676E4">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产品</w:t>
            </w:r>
          </w:p>
          <w:p w14:paraId="576F7B8F">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质量</w:t>
            </w:r>
          </w:p>
          <w:p w14:paraId="6CE93299">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30%</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1F791201">
            <w:pPr>
              <w:pStyle w:val="16"/>
              <w:widowControl/>
              <w:spacing w:line="240" w:lineRule="auto"/>
              <w:jc w:val="center"/>
              <w:rPr>
                <w:rFonts w:eastAsia="仿宋_GB2312"/>
                <w:color w:val="auto"/>
                <w:sz w:val="22"/>
                <w:highlight w:val="none"/>
              </w:rPr>
            </w:pPr>
            <w:r>
              <w:rPr>
                <w:rFonts w:eastAsia="仿宋_GB2312"/>
                <w:color w:val="auto"/>
                <w:sz w:val="22"/>
                <w:highlight w:val="none"/>
              </w:rPr>
              <w:t>22</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72829E9B">
            <w:pPr>
              <w:pStyle w:val="16"/>
              <w:widowControl/>
              <w:spacing w:line="240" w:lineRule="auto"/>
              <w:rPr>
                <w:rFonts w:eastAsia="仿宋_GB2312"/>
                <w:color w:val="auto"/>
                <w:sz w:val="22"/>
                <w:highlight w:val="none"/>
              </w:rPr>
            </w:pPr>
            <w:r>
              <w:rPr>
                <w:rFonts w:hint="eastAsia" w:eastAsia="仿宋_GB2312"/>
                <w:color w:val="auto"/>
                <w:sz w:val="22"/>
                <w:highlight w:val="none"/>
              </w:rPr>
              <w:t>企业上年度产品合格率</w:t>
            </w:r>
          </w:p>
          <w:p w14:paraId="123F414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明显低于行业平均水平</w:t>
            </w:r>
            <w:r>
              <w:rPr>
                <w:rFonts w:eastAsia="仿宋_GB2312"/>
                <w:color w:val="auto"/>
                <w:sz w:val="22"/>
                <w:highlight w:val="none"/>
              </w:rPr>
              <w:t xml:space="preserve"> </w:t>
            </w:r>
          </w:p>
          <w:p w14:paraId="13E4860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略低于行业平均水平</w:t>
            </w:r>
            <w:r>
              <w:rPr>
                <w:rFonts w:eastAsia="仿宋_GB2312"/>
                <w:color w:val="auto"/>
                <w:sz w:val="22"/>
                <w:highlight w:val="none"/>
              </w:rPr>
              <w:t xml:space="preserve"> </w:t>
            </w:r>
          </w:p>
          <w:p w14:paraId="1029567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与行业平均水平相当</w:t>
            </w:r>
            <w:r>
              <w:rPr>
                <w:rFonts w:eastAsia="仿宋_GB2312"/>
                <w:color w:val="auto"/>
                <w:sz w:val="22"/>
                <w:highlight w:val="none"/>
              </w:rPr>
              <w:t xml:space="preserve"> </w:t>
            </w:r>
          </w:p>
          <w:p w14:paraId="24C9543F">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略高于行业平均水平</w:t>
            </w:r>
            <w:r>
              <w:rPr>
                <w:rFonts w:eastAsia="仿宋_GB2312"/>
                <w:color w:val="auto"/>
                <w:sz w:val="22"/>
                <w:highlight w:val="none"/>
              </w:rPr>
              <w:t xml:space="preserve"> </w:t>
            </w:r>
          </w:p>
          <w:p w14:paraId="34EC86F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明显高于行业平均水平</w:t>
            </w:r>
          </w:p>
          <w:p w14:paraId="7A9227E9">
            <w:pPr>
              <w:pStyle w:val="16"/>
              <w:widowControl/>
              <w:spacing w:line="240" w:lineRule="auto"/>
              <w:rPr>
                <w:rFonts w:eastAsia="仿宋_GB2312"/>
                <w:color w:val="auto"/>
                <w:sz w:val="22"/>
                <w:highlight w:val="none"/>
              </w:rPr>
            </w:pPr>
          </w:p>
          <w:p w14:paraId="1D79FF27">
            <w:pPr>
              <w:pStyle w:val="16"/>
              <w:widowControl/>
              <w:spacing w:line="240" w:lineRule="auto"/>
              <w:rPr>
                <w:rFonts w:eastAsia="仿宋_GB2312"/>
                <w:color w:val="auto"/>
                <w:sz w:val="22"/>
                <w:highlight w:val="none"/>
              </w:rPr>
            </w:pPr>
            <w:r>
              <w:rPr>
                <w:rFonts w:hint="eastAsia" w:eastAsia="仿宋_GB2312"/>
                <w:color w:val="auto"/>
                <w:sz w:val="22"/>
                <w:highlight w:val="none"/>
              </w:rPr>
              <w:t>具体数值为</w:t>
            </w:r>
            <w:r>
              <w:rPr>
                <w:rFonts w:eastAsia="仿宋_GB2312"/>
                <w:color w:val="auto"/>
                <w:sz w:val="22"/>
                <w:highlight w:val="none"/>
              </w:rPr>
              <w:t>[      ]</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E77DABB">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53D13D8A">
            <w:pPr>
              <w:pStyle w:val="16"/>
              <w:widowControl/>
              <w:spacing w:line="240" w:lineRule="auto"/>
              <w:rPr>
                <w:rFonts w:eastAsia="仿宋_GB2312"/>
                <w:color w:val="auto"/>
                <w:sz w:val="22"/>
                <w:highlight w:val="none"/>
              </w:rPr>
            </w:pPr>
          </w:p>
        </w:tc>
      </w:tr>
      <w:tr w14:paraId="49EA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4C339">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0DACCA1">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生产</w:t>
            </w:r>
          </w:p>
          <w:p w14:paraId="78CA0B2F">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效率</w:t>
            </w:r>
          </w:p>
          <w:p w14:paraId="022744F7">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40%</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3BB0F2CB">
            <w:pPr>
              <w:pStyle w:val="16"/>
              <w:widowControl/>
              <w:spacing w:line="240" w:lineRule="auto"/>
              <w:jc w:val="center"/>
              <w:rPr>
                <w:rFonts w:eastAsia="仿宋_GB2312"/>
                <w:color w:val="auto"/>
                <w:sz w:val="22"/>
                <w:highlight w:val="none"/>
              </w:rPr>
            </w:pPr>
            <w:r>
              <w:rPr>
                <w:rFonts w:eastAsia="仿宋_GB2312"/>
                <w:color w:val="auto"/>
                <w:sz w:val="22"/>
                <w:highlight w:val="none"/>
              </w:rPr>
              <w:t>23</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13418823">
            <w:pPr>
              <w:pStyle w:val="16"/>
              <w:widowControl/>
              <w:spacing w:line="240" w:lineRule="auto"/>
              <w:rPr>
                <w:rFonts w:eastAsia="仿宋_GB2312"/>
                <w:color w:val="auto"/>
                <w:sz w:val="22"/>
                <w:highlight w:val="none"/>
              </w:rPr>
            </w:pPr>
            <w:r>
              <w:rPr>
                <w:rFonts w:hint="eastAsia" w:eastAsia="仿宋_GB2312"/>
                <w:color w:val="auto"/>
                <w:sz w:val="22"/>
                <w:highlight w:val="none"/>
              </w:rPr>
              <w:t>企业上年度人均营业收入</w:t>
            </w:r>
          </w:p>
          <w:p w14:paraId="2E109D11">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明显低于行业平均水平</w:t>
            </w:r>
            <w:r>
              <w:rPr>
                <w:rFonts w:eastAsia="仿宋_GB2312"/>
                <w:color w:val="auto"/>
                <w:sz w:val="22"/>
                <w:highlight w:val="none"/>
              </w:rPr>
              <w:t xml:space="preserve"> </w:t>
            </w:r>
          </w:p>
          <w:p w14:paraId="03233A80">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略低于行业平均水平</w:t>
            </w:r>
            <w:r>
              <w:rPr>
                <w:rFonts w:eastAsia="仿宋_GB2312"/>
                <w:color w:val="auto"/>
                <w:sz w:val="22"/>
                <w:highlight w:val="none"/>
              </w:rPr>
              <w:t xml:space="preserve"> </w:t>
            </w:r>
          </w:p>
          <w:p w14:paraId="5EBC1B9B">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与行业平均水平相当</w:t>
            </w:r>
            <w:r>
              <w:rPr>
                <w:rFonts w:eastAsia="仿宋_GB2312"/>
                <w:color w:val="auto"/>
                <w:sz w:val="22"/>
                <w:highlight w:val="none"/>
              </w:rPr>
              <w:t xml:space="preserve"> </w:t>
            </w:r>
          </w:p>
          <w:p w14:paraId="0C153CAF">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略高于行业平均水平</w:t>
            </w:r>
            <w:r>
              <w:rPr>
                <w:rFonts w:eastAsia="仿宋_GB2312"/>
                <w:color w:val="auto"/>
                <w:sz w:val="22"/>
                <w:highlight w:val="none"/>
              </w:rPr>
              <w:t xml:space="preserve"> </w:t>
            </w:r>
          </w:p>
          <w:p w14:paraId="4F0A701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明显高于行业平均水平</w:t>
            </w:r>
          </w:p>
          <w:p w14:paraId="4CEFB0F6">
            <w:pPr>
              <w:pStyle w:val="16"/>
              <w:widowControl/>
              <w:spacing w:line="240" w:lineRule="auto"/>
              <w:rPr>
                <w:rFonts w:eastAsia="仿宋_GB2312"/>
                <w:color w:val="auto"/>
                <w:sz w:val="22"/>
                <w:highlight w:val="none"/>
              </w:rPr>
            </w:pPr>
          </w:p>
          <w:p w14:paraId="1FDCD949">
            <w:pPr>
              <w:pStyle w:val="16"/>
              <w:widowControl/>
              <w:spacing w:line="240" w:lineRule="auto"/>
              <w:rPr>
                <w:rFonts w:eastAsia="仿宋_GB2312"/>
                <w:color w:val="auto"/>
                <w:sz w:val="22"/>
                <w:highlight w:val="none"/>
              </w:rPr>
            </w:pPr>
            <w:r>
              <w:rPr>
                <w:rFonts w:hint="eastAsia" w:eastAsia="仿宋_GB2312"/>
                <w:color w:val="auto"/>
                <w:sz w:val="22"/>
                <w:highlight w:val="none"/>
              </w:rPr>
              <w:t>具体数值为</w:t>
            </w:r>
            <w:r>
              <w:rPr>
                <w:rFonts w:eastAsia="仿宋_GB2312"/>
                <w:color w:val="auto"/>
                <w:sz w:val="22"/>
                <w:highlight w:val="none"/>
              </w:rPr>
              <w:t>[      ]</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60D1773">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2F8BB8A7">
            <w:pPr>
              <w:pStyle w:val="16"/>
              <w:widowControl/>
              <w:spacing w:line="240" w:lineRule="auto"/>
              <w:rPr>
                <w:rFonts w:eastAsia="仿宋_GB2312"/>
                <w:color w:val="auto"/>
                <w:sz w:val="22"/>
                <w:highlight w:val="none"/>
              </w:rPr>
            </w:pPr>
          </w:p>
        </w:tc>
      </w:tr>
      <w:tr w14:paraId="4345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F0479">
            <w:pPr>
              <w:rPr>
                <w:rFonts w:ascii="Times New Roman" w:hAnsi="Times New Roman" w:cs="Times New Roman"/>
                <w:color w:val="auto"/>
                <w:sz w:val="20"/>
                <w:szCs w:val="20"/>
                <w:highlight w:val="none"/>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1882311">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价值</w:t>
            </w:r>
          </w:p>
          <w:p w14:paraId="101FEF02">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效益</w:t>
            </w:r>
          </w:p>
          <w:p w14:paraId="4DCC987E">
            <w:pPr>
              <w:pStyle w:val="16"/>
              <w:widowControl/>
              <w:spacing w:line="240" w:lineRule="auto"/>
              <w:jc w:val="center"/>
              <w:rPr>
                <w:rFonts w:eastAsia="仿宋_GB2312"/>
                <w:color w:val="auto"/>
                <w:sz w:val="22"/>
                <w:highlight w:val="none"/>
              </w:rPr>
            </w:pPr>
            <w:r>
              <w:rPr>
                <w:rFonts w:hint="eastAsia" w:eastAsia="仿宋_GB2312"/>
                <w:color w:val="auto"/>
                <w:sz w:val="22"/>
                <w:highlight w:val="none"/>
              </w:rPr>
              <w:t>（</w:t>
            </w:r>
            <w:r>
              <w:rPr>
                <w:rFonts w:eastAsia="仿宋_GB2312"/>
                <w:color w:val="auto"/>
                <w:sz w:val="22"/>
                <w:highlight w:val="none"/>
              </w:rPr>
              <w:t>30%</w:t>
            </w:r>
            <w:r>
              <w:rPr>
                <w:rFonts w:hint="eastAsia" w:eastAsia="仿宋_GB2312"/>
                <w:color w:val="auto"/>
                <w:sz w:val="22"/>
                <w:highlight w:val="none"/>
              </w:rPr>
              <w:t>）</w:t>
            </w:r>
          </w:p>
        </w:tc>
        <w:tc>
          <w:tcPr>
            <w:tcW w:w="781" w:type="dxa"/>
            <w:tcBorders>
              <w:top w:val="nil"/>
              <w:left w:val="single" w:color="auto" w:sz="4" w:space="0"/>
              <w:bottom w:val="single" w:color="auto" w:sz="4" w:space="0"/>
              <w:right w:val="single" w:color="auto" w:sz="4" w:space="0"/>
            </w:tcBorders>
            <w:shd w:val="clear" w:color="auto" w:fill="auto"/>
            <w:vAlign w:val="center"/>
          </w:tcPr>
          <w:p w14:paraId="35810B15">
            <w:pPr>
              <w:pStyle w:val="16"/>
              <w:widowControl/>
              <w:spacing w:line="240" w:lineRule="auto"/>
              <w:jc w:val="center"/>
              <w:rPr>
                <w:rFonts w:eastAsia="仿宋_GB2312"/>
                <w:color w:val="auto"/>
                <w:sz w:val="22"/>
                <w:highlight w:val="none"/>
              </w:rPr>
            </w:pPr>
            <w:r>
              <w:rPr>
                <w:rFonts w:eastAsia="仿宋_GB2312"/>
                <w:color w:val="auto"/>
                <w:sz w:val="22"/>
                <w:highlight w:val="none"/>
              </w:rPr>
              <w:t>24</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59E4EF66">
            <w:pPr>
              <w:pStyle w:val="16"/>
              <w:widowControl/>
              <w:spacing w:line="240" w:lineRule="auto"/>
              <w:rPr>
                <w:rFonts w:eastAsia="仿宋_GB2312"/>
                <w:color w:val="auto"/>
                <w:sz w:val="22"/>
                <w:highlight w:val="none"/>
              </w:rPr>
            </w:pPr>
            <w:r>
              <w:rPr>
                <w:rFonts w:hint="eastAsia" w:eastAsia="仿宋_GB2312"/>
                <w:color w:val="auto"/>
                <w:sz w:val="22"/>
                <w:highlight w:val="none"/>
              </w:rPr>
              <w:t>企业上年度每百元营业收入中的成本</w:t>
            </w:r>
          </w:p>
          <w:p w14:paraId="5B499468">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明显低于行业平均水平</w:t>
            </w:r>
            <w:r>
              <w:rPr>
                <w:rFonts w:eastAsia="仿宋_GB2312"/>
                <w:color w:val="auto"/>
                <w:sz w:val="22"/>
                <w:highlight w:val="none"/>
              </w:rPr>
              <w:t xml:space="preserve"> </w:t>
            </w:r>
          </w:p>
          <w:p w14:paraId="007FEFC3">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略低于行业平均水平</w:t>
            </w:r>
            <w:r>
              <w:rPr>
                <w:rFonts w:eastAsia="仿宋_GB2312"/>
                <w:color w:val="auto"/>
                <w:sz w:val="22"/>
                <w:highlight w:val="none"/>
              </w:rPr>
              <w:t xml:space="preserve"> </w:t>
            </w:r>
          </w:p>
          <w:p w14:paraId="0826D70E">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与行业平均水平相当</w:t>
            </w:r>
            <w:r>
              <w:rPr>
                <w:rFonts w:eastAsia="仿宋_GB2312"/>
                <w:color w:val="auto"/>
                <w:sz w:val="22"/>
                <w:highlight w:val="none"/>
              </w:rPr>
              <w:t xml:space="preserve"> </w:t>
            </w:r>
          </w:p>
          <w:p w14:paraId="24C599CD">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略高于行业平均水平</w:t>
            </w:r>
            <w:r>
              <w:rPr>
                <w:rFonts w:eastAsia="仿宋_GB2312"/>
                <w:color w:val="auto"/>
                <w:sz w:val="22"/>
                <w:highlight w:val="none"/>
              </w:rPr>
              <w:t xml:space="preserve"> </w:t>
            </w:r>
          </w:p>
          <w:p w14:paraId="137C4FD4">
            <w:pPr>
              <w:pStyle w:val="16"/>
              <w:widowControl/>
              <w:spacing w:line="240" w:lineRule="auto"/>
              <w:rPr>
                <w:rFonts w:eastAsia="仿宋_GB2312"/>
                <w:color w:val="auto"/>
                <w:sz w:val="22"/>
                <w:highlight w:val="none"/>
              </w:rPr>
            </w:pPr>
            <w:r>
              <w:rPr>
                <w:rFonts w:eastAsia="仿宋_GB2312"/>
                <w:color w:val="auto"/>
                <w:sz w:val="22"/>
                <w:highlight w:val="none"/>
              </w:rPr>
              <w:t>□</w:t>
            </w:r>
            <w:r>
              <w:rPr>
                <w:rFonts w:hint="eastAsia" w:eastAsia="仿宋_GB2312"/>
                <w:color w:val="auto"/>
                <w:sz w:val="22"/>
                <w:highlight w:val="none"/>
              </w:rPr>
              <w:t>明显高于行业平均水平</w:t>
            </w:r>
          </w:p>
          <w:p w14:paraId="20F704A4">
            <w:pPr>
              <w:pStyle w:val="16"/>
              <w:widowControl/>
              <w:spacing w:line="240" w:lineRule="auto"/>
              <w:rPr>
                <w:rFonts w:eastAsia="仿宋_GB2312"/>
                <w:color w:val="auto"/>
                <w:sz w:val="22"/>
                <w:highlight w:val="none"/>
              </w:rPr>
            </w:pPr>
          </w:p>
          <w:p w14:paraId="40B6A868">
            <w:pPr>
              <w:pStyle w:val="16"/>
              <w:widowControl/>
              <w:spacing w:line="240" w:lineRule="auto"/>
              <w:rPr>
                <w:rFonts w:eastAsia="仿宋_GB2312"/>
                <w:color w:val="auto"/>
                <w:sz w:val="22"/>
                <w:highlight w:val="none"/>
              </w:rPr>
            </w:pPr>
            <w:r>
              <w:rPr>
                <w:rFonts w:hint="eastAsia" w:eastAsia="仿宋_GB2312"/>
                <w:color w:val="auto"/>
                <w:sz w:val="22"/>
                <w:highlight w:val="none"/>
              </w:rPr>
              <w:t>具体数值为</w:t>
            </w:r>
            <w:r>
              <w:rPr>
                <w:rFonts w:eastAsia="仿宋_GB2312"/>
                <w:color w:val="auto"/>
                <w:sz w:val="22"/>
                <w:highlight w:val="none"/>
              </w:rPr>
              <w:t>[      ]</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F608CD2">
            <w:pPr>
              <w:pStyle w:val="16"/>
              <w:widowControl/>
              <w:spacing w:line="240" w:lineRule="auto"/>
              <w:rPr>
                <w:rFonts w:eastAsia="仿宋_GB2312"/>
                <w:color w:val="auto"/>
                <w:sz w:val="22"/>
                <w:highlight w:val="none"/>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444C511B">
            <w:pPr>
              <w:pStyle w:val="16"/>
              <w:widowControl/>
              <w:spacing w:line="240" w:lineRule="auto"/>
              <w:rPr>
                <w:rFonts w:eastAsia="仿宋_GB2312"/>
                <w:color w:val="auto"/>
                <w:sz w:val="22"/>
                <w:highlight w:val="none"/>
              </w:rPr>
            </w:pPr>
          </w:p>
        </w:tc>
      </w:tr>
    </w:tbl>
    <w:p w14:paraId="61D3F1FE">
      <w:pPr>
        <w:numPr>
          <w:ilvl w:val="0"/>
          <w:numId w:val="0"/>
        </w:numPr>
        <w:tabs>
          <w:tab w:val="left" w:pos="420"/>
        </w:tabs>
        <w:ind w:firstLine="643" w:firstLineChars="200"/>
        <w:rPr>
          <w:rFonts w:hint="eastAsia" w:ascii="仿宋_GB2312" w:hAnsi="仿宋_GB2312" w:eastAsia="仿宋_GB2312" w:cs="仿宋_GB2312"/>
          <w:b/>
          <w:bCs/>
          <w:color w:val="auto"/>
          <w:sz w:val="32"/>
          <w:szCs w:val="32"/>
          <w:highlight w:val="none"/>
          <w:lang w:bidi="ar"/>
          <w14:ligatures w14:val="standardContextual"/>
        </w:rPr>
      </w:pPr>
      <w:bookmarkStart w:id="64" w:name="_Toc21141"/>
      <w:bookmarkStart w:id="65" w:name="_Toc28715"/>
      <w:bookmarkStart w:id="66" w:name="_Toc5355"/>
      <w:bookmarkStart w:id="67" w:name="_Toc7946"/>
      <w:bookmarkStart w:id="68" w:name="_Toc15274"/>
      <w:bookmarkStart w:id="69" w:name="_Toc9960"/>
      <w:bookmarkStart w:id="70" w:name="_Toc18888"/>
      <w:r>
        <w:rPr>
          <w:rFonts w:hint="eastAsia" w:ascii="仿宋_GB2312" w:hAnsi="仿宋_GB2312" w:eastAsia="仿宋_GB2312" w:cs="仿宋_GB2312"/>
          <w:b/>
          <w:bCs/>
          <w:color w:val="auto"/>
          <w:sz w:val="32"/>
          <w:szCs w:val="32"/>
          <w:highlight w:val="none"/>
          <w:lang w:bidi="ar"/>
          <w14:ligatures w14:val="standardContextual"/>
        </w:rPr>
        <w:t>（二）数字化改造需求清单</w:t>
      </w:r>
      <w:bookmarkEnd w:id="64"/>
      <w:bookmarkEnd w:id="65"/>
      <w:bookmarkEnd w:id="66"/>
      <w:bookmarkEnd w:id="67"/>
      <w:bookmarkEnd w:id="68"/>
      <w:bookmarkEnd w:id="69"/>
      <w:bookmarkEnd w:id="70"/>
    </w:p>
    <w:p w14:paraId="3C300C0F">
      <w:pPr>
        <w:tabs>
          <w:tab w:val="left" w:pos="420"/>
        </w:tabs>
        <w:ind w:firstLine="64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14:ligatures w14:val="standardContextual"/>
        </w:rPr>
        <w:t>根据企业数字化水平评估结果及现场诊断情况，分析企业在数字化转型过程中面临的生产经营痛点、需求问题。</w:t>
      </w:r>
    </w:p>
    <w:p w14:paraId="65C0C200">
      <w:pPr>
        <w:widowControl/>
        <w:tabs>
          <w:tab w:val="left" w:pos="420"/>
        </w:tabs>
        <w:autoSpaceDE w:val="0"/>
        <w:autoSpaceDN w:val="0"/>
        <w:spacing w:line="480" w:lineRule="auto"/>
        <w:jc w:val="center"/>
        <w:textAlignment w:val="bottom"/>
        <w:rPr>
          <w:rFonts w:ascii="Calibri" w:hAnsi="Calibri" w:eastAsia="黑体" w:cs="Times New Roman"/>
          <w:color w:val="auto"/>
          <w:spacing w:val="6"/>
          <w:position w:val="2"/>
          <w:sz w:val="24"/>
          <w:szCs w:val="24"/>
          <w:highlight w:val="none"/>
          <w:lang w:bidi="ar"/>
        </w:rPr>
      </w:pPr>
      <w:r>
        <w:rPr>
          <w:rFonts w:hint="eastAsia" w:ascii="Calibri" w:hAnsi="Calibri" w:eastAsia="黑体" w:cs="Times New Roman"/>
          <w:color w:val="auto"/>
          <w:spacing w:val="6"/>
          <w:position w:val="2"/>
          <w:sz w:val="24"/>
          <w:szCs w:val="24"/>
          <w:highlight w:val="none"/>
          <w:lang w:bidi="ar"/>
          <w14:ligatures w14:val="standardContextual"/>
        </w:rPr>
        <w:t>表</w:t>
      </w:r>
      <w:r>
        <w:rPr>
          <w:rFonts w:ascii="Calibri" w:hAnsi="Calibri" w:eastAsia="黑体" w:cs="Times New Roman"/>
          <w:color w:val="auto"/>
          <w:spacing w:val="6"/>
          <w:position w:val="2"/>
          <w:sz w:val="24"/>
          <w:szCs w:val="24"/>
          <w:highlight w:val="none"/>
          <w:lang w:bidi="ar"/>
          <w14:ligatures w14:val="standardContextual"/>
        </w:rPr>
        <w:t xml:space="preserve">4 </w:t>
      </w:r>
      <w:r>
        <w:rPr>
          <w:rFonts w:hint="eastAsia" w:ascii="Calibri" w:hAnsi="Calibri" w:eastAsia="黑体" w:cs="Times New Roman"/>
          <w:color w:val="auto"/>
          <w:spacing w:val="6"/>
          <w:position w:val="2"/>
          <w:sz w:val="24"/>
          <w:szCs w:val="24"/>
          <w:highlight w:val="none"/>
          <w:lang w:bidi="ar"/>
          <w14:ligatures w14:val="standardContextual"/>
        </w:rPr>
        <w:t>数字化改造需求</w:t>
      </w:r>
    </w:p>
    <w:p w14:paraId="787E1320">
      <w:pPr>
        <w:widowControl/>
        <w:tabs>
          <w:tab w:val="left" w:pos="420"/>
        </w:tabs>
        <w:autoSpaceDE w:val="0"/>
        <w:autoSpaceDN w:val="0"/>
        <w:spacing w:line="480" w:lineRule="auto"/>
        <w:jc w:val="center"/>
        <w:textAlignment w:val="bottom"/>
        <w:rPr>
          <w:rFonts w:eastAsia="黑体" w:cs="Times New Roman"/>
          <w:color w:val="auto"/>
          <w:spacing w:val="6"/>
          <w:position w:val="2"/>
          <w:sz w:val="24"/>
          <w:szCs w:val="24"/>
          <w:highlight w:val="none"/>
        </w:rPr>
      </w:pPr>
      <w:r>
        <w:rPr>
          <w:rFonts w:hint="eastAsia" w:ascii="Calibri" w:hAnsi="Calibri" w:eastAsia="黑体" w:cs="Times New Roman"/>
          <w:color w:val="auto"/>
          <w:spacing w:val="6"/>
          <w:position w:val="2"/>
          <w:sz w:val="24"/>
          <w:szCs w:val="24"/>
          <w:highlight w:val="none"/>
          <w:lang w:bidi="ar"/>
          <w14:ligatures w14:val="standardContextual"/>
        </w:rPr>
        <w:t>（试点企业与数字化服务商共同填写，根据实际情况选择性填写）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3200"/>
        <w:gridCol w:w="3200"/>
      </w:tblGrid>
      <w:tr w14:paraId="39E6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F74B00">
            <w:pPr>
              <w:widowControl/>
              <w:tabs>
                <w:tab w:val="left" w:pos="420"/>
              </w:tabs>
              <w:kinsoku w:val="0"/>
              <w:autoSpaceDE w:val="0"/>
              <w:autoSpaceDN w:val="0"/>
              <w:spacing w:line="560" w:lineRule="exact"/>
              <w:jc w:val="left"/>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snapToGrid w:val="0"/>
                <w:color w:val="auto"/>
                <w:kern w:val="0"/>
                <w:szCs w:val="21"/>
                <w:highlight w:val="none"/>
                <w:lang w:bidi="ar"/>
                <w14:ligatures w14:val="standardContextual"/>
              </w:rPr>
              <w:t>试点企业面临的各类数字化需求</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19005A34">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b/>
                <w:bCs/>
                <w:color w:val="auto"/>
                <w:kern w:val="0"/>
                <w:szCs w:val="21"/>
                <w:highlight w:val="none"/>
                <w:lang w:bidi="ar"/>
              </w:rPr>
            </w:pPr>
            <w:r>
              <w:rPr>
                <w:rFonts w:hint="eastAsia" w:ascii="仿宋_GB2312" w:hAnsi="仿宋_GB2312" w:eastAsia="仿宋_GB2312" w:cs="仿宋_GB2312"/>
                <w:b/>
                <w:bCs/>
                <w:color w:val="auto"/>
                <w:kern w:val="0"/>
                <w:szCs w:val="21"/>
                <w:highlight w:val="none"/>
                <w:lang w:bidi="ar"/>
                <w14:ligatures w14:val="standardContextual"/>
              </w:rPr>
              <w:t>生产过程数字化面临需求</w:t>
            </w:r>
          </w:p>
          <w:p w14:paraId="18379DF2">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color w:val="auto"/>
                <w:kern w:val="0"/>
                <w:szCs w:val="21"/>
                <w:highlight w:val="none"/>
                <w:lang w:bidi="ar"/>
                <w14:ligatures w14:val="standardContextual"/>
              </w:rPr>
              <w:t>（逐条列出）</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681C49F4">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color w:val="auto"/>
                <w:kern w:val="0"/>
                <w:szCs w:val="21"/>
                <w:highlight w:val="none"/>
                <w:lang w:bidi="ar"/>
              </w:rPr>
            </w:pPr>
          </w:p>
        </w:tc>
      </w:tr>
      <w:tr w14:paraId="6D07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2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A0BB1">
            <w:pPr>
              <w:rPr>
                <w:rFonts w:ascii="Times New Roman" w:hAnsi="Times New Roman" w:cs="Times New Roman"/>
                <w:color w:val="auto"/>
                <w:sz w:val="20"/>
                <w:szCs w:val="20"/>
                <w:highlight w:val="none"/>
              </w:rPr>
            </w:pP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5BB740D2">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b/>
                <w:bCs/>
                <w:color w:val="auto"/>
                <w:kern w:val="0"/>
                <w:szCs w:val="21"/>
                <w:highlight w:val="none"/>
                <w:lang w:bidi="ar"/>
              </w:rPr>
            </w:pPr>
            <w:r>
              <w:rPr>
                <w:rFonts w:hint="eastAsia" w:ascii="仿宋_GB2312" w:hAnsi="仿宋_GB2312" w:eastAsia="仿宋_GB2312" w:cs="仿宋_GB2312"/>
                <w:b/>
                <w:bCs/>
                <w:color w:val="auto"/>
                <w:kern w:val="0"/>
                <w:szCs w:val="21"/>
                <w:highlight w:val="none"/>
                <w:lang w:bidi="ar"/>
                <w14:ligatures w14:val="standardContextual"/>
              </w:rPr>
              <w:t>产品生命周期数字化面临需求</w:t>
            </w:r>
          </w:p>
          <w:p w14:paraId="09245333">
            <w:pPr>
              <w:pStyle w:val="2"/>
              <w:widowControl/>
              <w:rPr>
                <w:rFonts w:hint="default"/>
                <w:color w:val="auto"/>
                <w:highlight w:val="none"/>
              </w:rPr>
            </w:pPr>
            <w:r>
              <w:rPr>
                <w:rFonts w:ascii="仿宋_GB2312" w:hAnsi="仿宋_GB2312" w:eastAsia="仿宋_GB2312" w:cs="仿宋_GB2312"/>
                <w:b/>
                <w:bCs/>
                <w:color w:val="auto"/>
                <w:kern w:val="0"/>
                <w:sz w:val="21"/>
                <w:szCs w:val="21"/>
                <w:highlight w:val="none"/>
                <w:lang w:bidi="ar"/>
              </w:rPr>
              <w:t>（逐条列出）</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61AA095D">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color w:val="auto"/>
                <w:kern w:val="0"/>
                <w:szCs w:val="21"/>
                <w:highlight w:val="none"/>
                <w:lang w:bidi="ar"/>
              </w:rPr>
            </w:pPr>
          </w:p>
        </w:tc>
      </w:tr>
      <w:tr w14:paraId="6F40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38CAD">
            <w:pPr>
              <w:rPr>
                <w:rFonts w:ascii="Times New Roman" w:hAnsi="Times New Roman" w:cs="Times New Roman"/>
                <w:color w:val="auto"/>
                <w:sz w:val="20"/>
                <w:szCs w:val="20"/>
                <w:highlight w:val="none"/>
              </w:rPr>
            </w:pP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2A6ED098">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b/>
                <w:bCs/>
                <w:color w:val="auto"/>
                <w:kern w:val="0"/>
                <w:szCs w:val="21"/>
                <w:highlight w:val="none"/>
                <w:lang w:bidi="ar"/>
              </w:rPr>
            </w:pPr>
            <w:r>
              <w:rPr>
                <w:rFonts w:hint="eastAsia" w:ascii="仿宋_GB2312" w:hAnsi="仿宋_GB2312" w:eastAsia="仿宋_GB2312" w:cs="仿宋_GB2312"/>
                <w:b/>
                <w:bCs/>
                <w:color w:val="auto"/>
                <w:kern w:val="0"/>
                <w:szCs w:val="21"/>
                <w:highlight w:val="none"/>
                <w:lang w:bidi="ar"/>
                <w14:ligatures w14:val="standardContextual"/>
              </w:rPr>
              <w:t>产业链供应链数字化面临需求</w:t>
            </w:r>
          </w:p>
          <w:p w14:paraId="198A5F60">
            <w:pPr>
              <w:pStyle w:val="2"/>
              <w:widowControl/>
              <w:rPr>
                <w:rFonts w:hint="default"/>
                <w:color w:val="auto"/>
                <w:highlight w:val="none"/>
              </w:rPr>
            </w:pPr>
            <w:r>
              <w:rPr>
                <w:rFonts w:ascii="仿宋_GB2312" w:hAnsi="仿宋_GB2312" w:eastAsia="仿宋_GB2312" w:cs="仿宋_GB2312"/>
                <w:b/>
                <w:bCs/>
                <w:color w:val="auto"/>
                <w:kern w:val="0"/>
                <w:sz w:val="21"/>
                <w:szCs w:val="21"/>
                <w:highlight w:val="none"/>
                <w:lang w:bidi="ar"/>
              </w:rPr>
              <w:t>（逐条列出）</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6141A442">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color w:val="auto"/>
                <w:kern w:val="0"/>
                <w:szCs w:val="21"/>
                <w:highlight w:val="none"/>
                <w:lang w:bidi="ar"/>
              </w:rPr>
            </w:pPr>
          </w:p>
        </w:tc>
      </w:tr>
      <w:tr w14:paraId="403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C4DC2">
            <w:pPr>
              <w:rPr>
                <w:rFonts w:ascii="Times New Roman" w:hAnsi="Times New Roman" w:cs="Times New Roman"/>
                <w:color w:val="auto"/>
                <w:sz w:val="20"/>
                <w:szCs w:val="20"/>
                <w:highlight w:val="none"/>
              </w:rPr>
            </w:pP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7E3C901C">
            <w:pPr>
              <w:pStyle w:val="2"/>
              <w:widowControl/>
              <w:rPr>
                <w:rFonts w:hint="default" w:ascii="仿宋_GB2312" w:hAnsi="仿宋_GB2312" w:cs="仿宋_GB2312"/>
                <w:b/>
                <w:bCs/>
                <w:color w:val="auto"/>
                <w:kern w:val="0"/>
                <w:sz w:val="21"/>
                <w:szCs w:val="21"/>
                <w:highlight w:val="none"/>
              </w:rPr>
            </w:pPr>
            <w:r>
              <w:rPr>
                <w:rFonts w:ascii="仿宋_GB2312" w:hAnsi="仿宋_GB2312" w:eastAsia="仿宋_GB2312" w:cs="仿宋_GB2312"/>
                <w:b/>
                <w:bCs/>
                <w:color w:val="auto"/>
                <w:kern w:val="0"/>
                <w:sz w:val="21"/>
                <w:szCs w:val="21"/>
                <w:highlight w:val="none"/>
                <w:lang w:bidi="ar"/>
              </w:rPr>
              <w:t>决策管理数字化面临需求</w:t>
            </w:r>
          </w:p>
          <w:p w14:paraId="5F080757">
            <w:pPr>
              <w:pStyle w:val="2"/>
              <w:widowControl/>
              <w:rPr>
                <w:rFonts w:hint="default" w:ascii="仿宋_GB2312" w:hAnsi="仿宋_GB2312" w:cs="仿宋_GB2312"/>
                <w:b/>
                <w:bCs/>
                <w:color w:val="auto"/>
                <w:kern w:val="0"/>
                <w:sz w:val="21"/>
                <w:szCs w:val="21"/>
                <w:highlight w:val="none"/>
              </w:rPr>
            </w:pPr>
            <w:r>
              <w:rPr>
                <w:rFonts w:ascii="仿宋_GB2312" w:hAnsi="仿宋_GB2312" w:eastAsia="仿宋_GB2312" w:cs="仿宋_GB2312"/>
                <w:b/>
                <w:bCs/>
                <w:color w:val="auto"/>
                <w:kern w:val="0"/>
                <w:sz w:val="21"/>
                <w:szCs w:val="21"/>
                <w:highlight w:val="none"/>
                <w:lang w:bidi="ar"/>
              </w:rPr>
              <w:t>（逐条列出）</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4360841B">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color w:val="auto"/>
                <w:kern w:val="0"/>
                <w:szCs w:val="21"/>
                <w:highlight w:val="none"/>
                <w:lang w:bidi="ar"/>
              </w:rPr>
            </w:pPr>
          </w:p>
        </w:tc>
      </w:tr>
      <w:tr w14:paraId="7058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6A688">
            <w:pPr>
              <w:rPr>
                <w:rFonts w:ascii="Times New Roman" w:hAnsi="Times New Roman" w:cs="Times New Roman"/>
                <w:color w:val="auto"/>
                <w:sz w:val="20"/>
                <w:szCs w:val="20"/>
                <w:highlight w:val="none"/>
              </w:rPr>
            </w:pP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55F76163">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b/>
                <w:bCs/>
                <w:color w:val="auto"/>
                <w:kern w:val="0"/>
                <w:szCs w:val="21"/>
                <w:highlight w:val="none"/>
                <w:lang w:bidi="ar"/>
              </w:rPr>
            </w:pPr>
            <w:r>
              <w:rPr>
                <w:rFonts w:hint="eastAsia" w:ascii="仿宋_GB2312" w:hAnsi="仿宋_GB2312" w:eastAsia="仿宋_GB2312" w:cs="仿宋_GB2312"/>
                <w:b/>
                <w:bCs/>
                <w:color w:val="auto"/>
                <w:kern w:val="0"/>
                <w:szCs w:val="21"/>
                <w:highlight w:val="none"/>
                <w:lang w:bidi="ar"/>
                <w14:ligatures w14:val="standardContextual"/>
              </w:rPr>
              <w:t>其他需求</w:t>
            </w:r>
          </w:p>
          <w:p w14:paraId="4FB6A732">
            <w:pPr>
              <w:pStyle w:val="2"/>
              <w:widowControl/>
              <w:rPr>
                <w:rFonts w:hint="default"/>
                <w:color w:val="auto"/>
                <w:highlight w:val="none"/>
              </w:rPr>
            </w:pPr>
            <w:r>
              <w:rPr>
                <w:rFonts w:ascii="仿宋_GB2312" w:hAnsi="仿宋_GB2312" w:eastAsia="仿宋_GB2312" w:cs="仿宋_GB2312"/>
                <w:b/>
                <w:bCs/>
                <w:color w:val="auto"/>
                <w:kern w:val="0"/>
                <w:sz w:val="21"/>
                <w:szCs w:val="21"/>
                <w:highlight w:val="none"/>
                <w:lang w:bidi="ar"/>
              </w:rPr>
              <w:t>（逐条列出）</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5BEC8A54">
            <w:pPr>
              <w:widowControl/>
              <w:tabs>
                <w:tab w:val="left" w:pos="420"/>
              </w:tabs>
              <w:kinsoku w:val="0"/>
              <w:autoSpaceDE w:val="0"/>
              <w:autoSpaceDN w:val="0"/>
              <w:adjustRightInd w:val="0"/>
              <w:spacing w:line="560" w:lineRule="exact"/>
              <w:jc w:val="left"/>
              <w:textAlignment w:val="baseline"/>
              <w:rPr>
                <w:rFonts w:ascii="仿宋_GB2312" w:hAnsi="仿宋_GB2312" w:eastAsia="仿宋_GB2312" w:cs="仿宋_GB2312"/>
                <w:color w:val="auto"/>
                <w:kern w:val="0"/>
                <w:szCs w:val="21"/>
                <w:highlight w:val="none"/>
                <w:lang w:bidi="ar"/>
              </w:rPr>
            </w:pPr>
          </w:p>
        </w:tc>
      </w:tr>
    </w:tbl>
    <w:p w14:paraId="64F0D22A">
      <w:pPr>
        <w:tabs>
          <w:tab w:val="left" w:pos="420"/>
        </w:tabs>
        <w:jc w:val="left"/>
        <w:rPr>
          <w:rFonts w:ascii="仿宋_GB2312" w:hAnsi="仿宋_GB2312" w:eastAsia="仿宋_GB2312" w:cs="仿宋_GB2312"/>
          <w:color w:val="auto"/>
          <w:sz w:val="24"/>
          <w:szCs w:val="24"/>
          <w:highlight w:val="none"/>
        </w:rPr>
      </w:pPr>
    </w:p>
    <w:p w14:paraId="38FE557B">
      <w:pPr>
        <w:tabs>
          <w:tab w:val="left" w:pos="420"/>
        </w:tabs>
        <w:ind w:firstLine="640"/>
        <w:jc w:val="left"/>
        <w:rPr>
          <w:rFonts w:ascii="黑体" w:hAnsi="宋体" w:eastAsia="黑体" w:cs="黑体"/>
          <w:color w:val="auto"/>
          <w:sz w:val="36"/>
          <w:szCs w:val="24"/>
          <w:highlight w:val="none"/>
        </w:rPr>
      </w:pPr>
      <w:r>
        <w:rPr>
          <w:rFonts w:ascii="Calibri" w:hAnsi="Calibri" w:eastAsia="黑体" w:cs="Times New Roman"/>
          <w:color w:val="auto"/>
          <w:szCs w:val="32"/>
          <w:highlight w:val="none"/>
          <w:lang w:bidi="ar"/>
        </w:rPr>
        <w:br w:type="page"/>
      </w:r>
    </w:p>
    <w:p w14:paraId="7EF07835">
      <w:pPr>
        <w:spacing w:line="560" w:lineRule="exact"/>
        <w:jc w:val="center"/>
        <w:rPr>
          <w:rFonts w:hint="eastAsia" w:ascii="方正小标宋简体" w:hAnsi="方正小标宋简体" w:eastAsia="方正小标宋简体" w:cs="方正小标宋简体"/>
          <w:sz w:val="44"/>
          <w:szCs w:val="44"/>
        </w:rPr>
      </w:pPr>
    </w:p>
    <w:p w14:paraId="3605A9A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评测表填报真实性承诺函</w:t>
      </w:r>
    </w:p>
    <w:p w14:paraId="541B9893">
      <w:pPr>
        <w:spacing w:line="560" w:lineRule="exact"/>
        <w:jc w:val="center"/>
        <w:rPr>
          <w:rFonts w:hint="eastAsia" w:ascii="方正小标宋简体" w:hAnsi="方正小标宋简体" w:eastAsia="方正小标宋简体" w:cs="方正小标宋简体"/>
          <w:sz w:val="44"/>
          <w:szCs w:val="44"/>
        </w:rPr>
      </w:pPr>
    </w:p>
    <w:p w14:paraId="121A603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本企业根据自身实际情况自主、自愿填报</w:t>
      </w:r>
      <w:r>
        <w:rPr>
          <w:rFonts w:hint="eastAsia" w:ascii="仿宋_GB2312" w:hAnsi="仿宋_GB2312" w:eastAsia="仿宋_GB2312" w:cs="仿宋_GB2312"/>
          <w:sz w:val="32"/>
          <w:szCs w:val="32"/>
          <w:lang w:eastAsia="zh-CN"/>
        </w:rPr>
        <w:t>《制造业</w:t>
      </w:r>
      <w:r>
        <w:rPr>
          <w:rFonts w:hint="eastAsia" w:ascii="仿宋_GB2312" w:hAnsi="仿宋_GB2312" w:eastAsia="仿宋_GB2312" w:cs="仿宋_GB2312"/>
          <w:sz w:val="32"/>
          <w:szCs w:val="32"/>
        </w:rPr>
        <w:t>中小企业数字化水平评测表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，现郑重承诺如下</w:t>
      </w:r>
      <w:r>
        <w:rPr>
          <w:rFonts w:hint="eastAsia" w:ascii="仿宋_GB2312" w:hAnsi="仿宋_GB2312" w:eastAsia="仿宋_GB2312" w:cs="仿宋_GB2312"/>
          <w:sz w:val="32"/>
          <w:szCs w:val="32"/>
          <w:lang w:eastAsia="zh-CN"/>
        </w:rPr>
        <w:t>：</w:t>
      </w:r>
    </w:p>
    <w:p w14:paraId="36D4B681">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以上所填内容和提交资料均准确、真实、合法、有效、无涉密信息，本企业愿为此承担有关法律责任。</w:t>
      </w:r>
    </w:p>
    <w:p w14:paraId="1CD9D395">
      <w:pPr>
        <w:widowControl/>
        <w:tabs>
          <w:tab w:val="left" w:pos="420"/>
        </w:tabs>
        <w:spacing w:line="540" w:lineRule="exact"/>
        <w:ind w:firstLine="640"/>
        <w:rPr>
          <w:rFonts w:cs="Times New Roman"/>
          <w:color w:val="auto"/>
          <w:szCs w:val="32"/>
          <w:highlight w:val="none"/>
        </w:rPr>
      </w:pPr>
    </w:p>
    <w:p w14:paraId="6958B575">
      <w:pPr>
        <w:widowControl/>
        <w:tabs>
          <w:tab w:val="left" w:pos="420"/>
        </w:tabs>
        <w:spacing w:line="540" w:lineRule="exact"/>
        <w:ind w:firstLine="640"/>
        <w:rPr>
          <w:rFonts w:cs="Times New Roman"/>
          <w:color w:val="auto"/>
          <w:szCs w:val="32"/>
          <w:highlight w:val="none"/>
        </w:rPr>
      </w:pPr>
    </w:p>
    <w:p w14:paraId="70254A85">
      <w:pPr>
        <w:widowControl/>
        <w:tabs>
          <w:tab w:val="left" w:pos="420"/>
        </w:tabs>
        <w:spacing w:line="540" w:lineRule="exact"/>
        <w:ind w:firstLine="640"/>
        <w:rPr>
          <w:rFonts w:cs="Times New Roman"/>
          <w:color w:val="auto"/>
          <w:szCs w:val="32"/>
          <w:highlight w:val="none"/>
        </w:rPr>
      </w:pPr>
    </w:p>
    <w:p w14:paraId="344B740A">
      <w:pPr>
        <w:tabs>
          <w:tab w:val="left" w:pos="420"/>
        </w:tabs>
        <w:spacing w:line="540" w:lineRule="exact"/>
        <w:ind w:firstLine="640"/>
        <w:rPr>
          <w:rFonts w:cs="仿宋"/>
          <w:color w:val="auto"/>
          <w:highlight w:val="none"/>
        </w:rPr>
      </w:pPr>
    </w:p>
    <w:p w14:paraId="5A4EE8E5">
      <w:pPr>
        <w:tabs>
          <w:tab w:val="left" w:pos="420"/>
        </w:tabs>
        <w:spacing w:line="540" w:lineRule="exact"/>
        <w:rPr>
          <w:rFonts w:cs="Times New Roman"/>
          <w:color w:val="auto"/>
          <w:szCs w:val="32"/>
          <w:highlight w:val="none"/>
        </w:rPr>
      </w:pPr>
    </w:p>
    <w:p w14:paraId="6ADF0772">
      <w:pPr>
        <w:tabs>
          <w:tab w:val="left" w:pos="420"/>
        </w:tabs>
        <w:spacing w:line="540" w:lineRule="exact"/>
        <w:rPr>
          <w:rFonts w:cs="Times New Roman"/>
          <w:color w:val="auto"/>
          <w:szCs w:val="32"/>
          <w:highlight w:val="none"/>
        </w:rPr>
      </w:pPr>
    </w:p>
    <w:p w14:paraId="07BFD0ED">
      <w:pPr>
        <w:tabs>
          <w:tab w:val="left" w:pos="420"/>
        </w:tabs>
        <w:spacing w:line="540" w:lineRule="exact"/>
        <w:rPr>
          <w:rFonts w:cs="Times New Roman"/>
          <w:color w:val="auto"/>
          <w:szCs w:val="32"/>
          <w:highlight w:val="none"/>
        </w:rPr>
      </w:pPr>
    </w:p>
    <w:p w14:paraId="362C7A31">
      <w:pPr>
        <w:tabs>
          <w:tab w:val="left" w:pos="420"/>
        </w:tabs>
        <w:spacing w:line="540" w:lineRule="exact"/>
        <w:rPr>
          <w:rFonts w:cs="Times New Roman"/>
          <w:color w:val="auto"/>
          <w:szCs w:val="32"/>
          <w:highlight w:val="none"/>
        </w:rPr>
      </w:pPr>
    </w:p>
    <w:p w14:paraId="328A31B9">
      <w:pPr>
        <w:tabs>
          <w:tab w:val="left" w:pos="420"/>
        </w:tabs>
        <w:spacing w:line="540" w:lineRule="exact"/>
        <w:rPr>
          <w:rFonts w:cs="Times New Roman"/>
          <w:color w:val="auto"/>
          <w:szCs w:val="32"/>
          <w:highlight w:val="none"/>
        </w:rPr>
      </w:pPr>
    </w:p>
    <w:p w14:paraId="3B4555DA">
      <w:pPr>
        <w:tabs>
          <w:tab w:val="left" w:pos="420"/>
        </w:tabs>
        <w:spacing w:line="540" w:lineRule="exact"/>
        <w:rPr>
          <w:rFonts w:cs="Times New Roman"/>
          <w:color w:val="auto"/>
          <w:szCs w:val="32"/>
          <w:highlight w:val="none"/>
        </w:rPr>
      </w:pPr>
    </w:p>
    <w:p w14:paraId="3EEC271A">
      <w:pPr>
        <w:tabs>
          <w:tab w:val="left" w:pos="420"/>
        </w:tabs>
        <w:spacing w:line="540" w:lineRule="exact"/>
        <w:rPr>
          <w:rFonts w:cs="Times New Roman"/>
          <w:color w:val="auto"/>
          <w:szCs w:val="32"/>
          <w:highlight w:val="none"/>
        </w:rPr>
      </w:pPr>
    </w:p>
    <w:p w14:paraId="3361D812">
      <w:pPr>
        <w:tabs>
          <w:tab w:val="left" w:pos="420"/>
        </w:tabs>
        <w:spacing w:line="540" w:lineRule="exact"/>
        <w:rPr>
          <w:rFonts w:cs="Times New Roman"/>
          <w:color w:val="auto"/>
          <w:szCs w:val="32"/>
          <w:highlight w:val="none"/>
        </w:rPr>
      </w:pPr>
    </w:p>
    <w:p w14:paraId="05DC5B16">
      <w:pPr>
        <w:tabs>
          <w:tab w:val="left" w:pos="420"/>
        </w:tabs>
        <w:spacing w:line="540" w:lineRule="exact"/>
        <w:rPr>
          <w:rFonts w:cs="Times New Roman"/>
          <w:color w:val="auto"/>
          <w:szCs w:val="32"/>
          <w:highlight w:val="none"/>
        </w:rPr>
      </w:pPr>
    </w:p>
    <w:p w14:paraId="69BAE306">
      <w:pPr>
        <w:tabs>
          <w:tab w:val="left" w:pos="420"/>
        </w:tabs>
        <w:spacing w:line="540" w:lineRule="exact"/>
        <w:rPr>
          <w:rFonts w:cs="Times New Roman"/>
          <w:color w:val="auto"/>
          <w:szCs w:val="32"/>
          <w:highlight w:val="none"/>
        </w:rPr>
      </w:pPr>
    </w:p>
    <w:p w14:paraId="31948D7A">
      <w:pPr>
        <w:tabs>
          <w:tab w:val="left" w:pos="420"/>
        </w:tabs>
        <w:spacing w:line="540" w:lineRule="exact"/>
        <w:rPr>
          <w:rFonts w:cs="Times New Roman"/>
          <w:color w:val="auto"/>
          <w:sz w:val="28"/>
          <w:szCs w:val="28"/>
          <w:highlight w:val="none"/>
          <w:u w:val="single"/>
        </w:rPr>
      </w:pPr>
      <w:r>
        <w:rPr>
          <w:rFonts w:hint="eastAsia" w:ascii="仿宋_GB2312" w:hAnsi="仿宋_GB2312" w:eastAsia="仿宋_GB2312" w:cs="仿宋_GB2312"/>
          <w:sz w:val="32"/>
          <w:szCs w:val="32"/>
        </w:rPr>
        <w:t xml:space="preserve">填写单位：（盖单位印章）   </w:t>
      </w:r>
      <w:r>
        <w:rPr>
          <w:rFonts w:ascii="Calibri" w:hAnsi="Calibri" w:eastAsia="宋体" w:cs="仿宋"/>
          <w:color w:val="auto"/>
          <w:sz w:val="28"/>
          <w:szCs w:val="28"/>
          <w:highlight w:val="none"/>
          <w:u w:val="single"/>
          <w:lang w:bidi="ar"/>
          <w14:ligatures w14:val="standardContextual"/>
        </w:rPr>
        <w:t xml:space="preserve">               </w:t>
      </w:r>
      <w:r>
        <w:rPr>
          <w:rFonts w:ascii="Calibri" w:hAnsi="Calibri" w:eastAsia="宋体" w:cs="Times New Roman"/>
          <w:color w:val="auto"/>
          <w:sz w:val="28"/>
          <w:szCs w:val="28"/>
          <w:highlight w:val="none"/>
          <w:u w:val="single"/>
          <w:lang w:bidi="ar"/>
          <w14:ligatures w14:val="standardContextual"/>
        </w:rPr>
        <w:t xml:space="preserve">  </w:t>
      </w:r>
    </w:p>
    <w:p w14:paraId="6F505E0A">
      <w:pPr>
        <w:tabs>
          <w:tab w:val="left" w:pos="420"/>
        </w:tabs>
        <w:wordWrap w:val="0"/>
        <w:spacing w:line="540" w:lineRule="exact"/>
        <w:rPr>
          <w:rFonts w:cs="Times New Roman"/>
          <w:color w:val="auto"/>
          <w:sz w:val="28"/>
          <w:szCs w:val="28"/>
          <w:highlight w:val="none"/>
        </w:rPr>
      </w:pPr>
    </w:p>
    <w:p w14:paraId="6666F406">
      <w:pPr>
        <w:tabs>
          <w:tab w:val="left" w:pos="420"/>
        </w:tabs>
        <w:rPr>
          <w:rFonts w:eastAsia="仿宋_GB2312"/>
          <w:color w:val="auto"/>
          <w:highlight w:val="none"/>
        </w:rPr>
      </w:pPr>
    </w:p>
    <w:p w14:paraId="37F57E12">
      <w:pPr>
        <w:tabs>
          <w:tab w:val="left" w:pos="420"/>
        </w:tabs>
        <w:rPr>
          <w:rFonts w:eastAsia="仿宋_GB2312"/>
          <w:color w:val="auto"/>
          <w:highlight w:val="none"/>
        </w:rPr>
      </w:pPr>
    </w:p>
    <w:p w14:paraId="7AA19A59">
      <w:pPr>
        <w:tabs>
          <w:tab w:val="left" w:pos="420"/>
        </w:tabs>
        <w:rPr>
          <w:rFonts w:eastAsia="仿宋_GB2312"/>
          <w:color w:val="auto"/>
          <w:highlight w:val="none"/>
        </w:rPr>
      </w:pPr>
    </w:p>
    <w:p w14:paraId="1F620A9D">
      <w:pPr>
        <w:tabs>
          <w:tab w:val="left" w:pos="420"/>
        </w:tabs>
        <w:rPr>
          <w:rFonts w:eastAsia="仿宋_GB2312"/>
          <w:color w:val="auto"/>
          <w:highlight w:val="none"/>
        </w:rPr>
      </w:pPr>
    </w:p>
    <w:p w14:paraId="557FB57F">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附件2.中小企业数字化改造工作方案</w:t>
      </w:r>
    </w:p>
    <w:p w14:paraId="101C647C">
      <w:pPr>
        <w:ind w:firstLine="640"/>
        <w:rPr>
          <w:rFonts w:ascii="Times New Roman" w:hAnsi="Times New Roman" w:eastAsia="仿宋_GB2312" w:cs="Times New Roman"/>
          <w:color w:val="auto"/>
          <w:sz w:val="32"/>
          <w:szCs w:val="32"/>
          <w:highlight w:val="none"/>
        </w:rPr>
      </w:pPr>
    </w:p>
    <w:p w14:paraId="57A1D99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中小</w:t>
      </w:r>
      <w:r>
        <w:rPr>
          <w:rFonts w:hint="eastAsia" w:ascii="仿宋_GB2312" w:hAnsi="仿宋_GB2312" w:eastAsia="仿宋_GB2312" w:cs="仿宋_GB2312"/>
          <w:sz w:val="32"/>
          <w:szCs w:val="32"/>
        </w:rPr>
        <w:t>企业数字化改造方案（例如组织调整、技术选型、数据治理及业务流程优化等关键环节的综合方案）</w:t>
      </w:r>
      <w:r>
        <w:rPr>
          <w:rFonts w:hint="eastAsia" w:ascii="仿宋_GB2312" w:hAnsi="仿宋_GB2312" w:eastAsia="仿宋_GB2312" w:cs="仿宋_GB2312"/>
          <w:sz w:val="32"/>
          <w:szCs w:val="32"/>
          <w:lang w:eastAsia="zh-CN"/>
        </w:rPr>
        <w:t>。</w:t>
      </w:r>
    </w:p>
    <w:p w14:paraId="3564EA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注：需预测中小企业在改造方案实施后的数字化水平得分，在《</w:t>
      </w:r>
      <w:r>
        <w:rPr>
          <w:rFonts w:hint="eastAsia" w:ascii="仿宋_GB2312" w:hAnsi="仿宋_GB2312" w:eastAsia="仿宋_GB2312" w:cs="仿宋_GB2312"/>
          <w:sz w:val="32"/>
          <w:szCs w:val="32"/>
        </w:rPr>
        <w:t>制造业中小企业数字化水平评测表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1表3</w:t>
      </w:r>
      <w:r>
        <w:rPr>
          <w:rFonts w:hint="eastAsia" w:ascii="仿宋_GB2312" w:hAnsi="仿宋_GB2312" w:eastAsia="仿宋_GB2312" w:cs="仿宋_GB2312"/>
          <w:sz w:val="32"/>
          <w:szCs w:val="32"/>
          <w:lang w:eastAsia="zh-CN"/>
        </w:rPr>
        <w:t>）的基础上，体现改造前后得分及说明。</w:t>
      </w:r>
    </w:p>
    <w:p w14:paraId="448706C1">
      <w:pPr>
        <w:adjustRightInd w:val="0"/>
        <w:snapToGrid w:val="0"/>
        <w:spacing w:line="360" w:lineRule="auto"/>
        <w:rPr>
          <w:rFonts w:ascii="Times New Roman" w:hAnsi="Times New Roman" w:eastAsia="仿宋_GB2312" w:cs="Times New Roman"/>
          <w:color w:val="auto"/>
          <w:sz w:val="32"/>
          <w:szCs w:val="32"/>
          <w:highlight w:val="none"/>
        </w:rPr>
      </w:pPr>
    </w:p>
    <w:p w14:paraId="4D659963">
      <w:pPr>
        <w:tabs>
          <w:tab w:val="left" w:pos="820"/>
        </w:tabs>
        <w:jc w:val="left"/>
        <w:rPr>
          <w:color w:val="auto"/>
          <w:highlight w:val="none"/>
        </w:rPr>
      </w:pPr>
    </w:p>
    <w:p w14:paraId="29A725C9">
      <w:pPr>
        <w:tabs>
          <w:tab w:val="left" w:pos="820"/>
        </w:tabs>
        <w:jc w:val="left"/>
        <w:rPr>
          <w:color w:val="auto"/>
          <w:highlight w:val="none"/>
        </w:rPr>
      </w:pPr>
    </w:p>
    <w:p w14:paraId="459987AA">
      <w:pPr>
        <w:tabs>
          <w:tab w:val="left" w:pos="820"/>
        </w:tabs>
        <w:jc w:val="left"/>
        <w:rPr>
          <w:color w:val="auto"/>
          <w:highlight w:val="none"/>
        </w:rPr>
      </w:pPr>
    </w:p>
    <w:p w14:paraId="547AA34B">
      <w:pPr>
        <w:tabs>
          <w:tab w:val="left" w:pos="820"/>
        </w:tabs>
        <w:jc w:val="left"/>
        <w:rPr>
          <w:color w:val="auto"/>
          <w:highlight w:val="none"/>
        </w:rPr>
      </w:pPr>
    </w:p>
    <w:p w14:paraId="2EC3C3C1">
      <w:pPr>
        <w:tabs>
          <w:tab w:val="left" w:pos="820"/>
        </w:tabs>
        <w:jc w:val="left"/>
        <w:rPr>
          <w:color w:val="auto"/>
          <w:highlight w:val="none"/>
        </w:rPr>
      </w:pPr>
    </w:p>
    <w:p w14:paraId="63EFEA9D">
      <w:pPr>
        <w:tabs>
          <w:tab w:val="left" w:pos="820"/>
        </w:tabs>
        <w:jc w:val="left"/>
        <w:rPr>
          <w:color w:val="auto"/>
          <w:highlight w:val="none"/>
        </w:rPr>
      </w:pPr>
    </w:p>
    <w:p w14:paraId="526309B9">
      <w:pPr>
        <w:tabs>
          <w:tab w:val="left" w:pos="820"/>
        </w:tabs>
        <w:jc w:val="left"/>
        <w:rPr>
          <w:color w:val="auto"/>
          <w:highlight w:val="none"/>
        </w:rPr>
      </w:pPr>
    </w:p>
    <w:p w14:paraId="2BF8804B">
      <w:pPr>
        <w:tabs>
          <w:tab w:val="left" w:pos="820"/>
        </w:tabs>
        <w:jc w:val="left"/>
        <w:rPr>
          <w:color w:val="auto"/>
          <w:highlight w:val="none"/>
        </w:rPr>
      </w:pPr>
    </w:p>
    <w:p w14:paraId="1B1F2EDC">
      <w:pPr>
        <w:tabs>
          <w:tab w:val="left" w:pos="820"/>
        </w:tabs>
        <w:jc w:val="left"/>
        <w:rPr>
          <w:color w:val="auto"/>
          <w:highlight w:val="none"/>
        </w:rPr>
      </w:pPr>
    </w:p>
    <w:p w14:paraId="56BB0C14">
      <w:pPr>
        <w:tabs>
          <w:tab w:val="left" w:pos="820"/>
        </w:tabs>
        <w:jc w:val="left"/>
        <w:rPr>
          <w:color w:val="auto"/>
          <w:highlight w:val="none"/>
        </w:rPr>
      </w:pPr>
    </w:p>
    <w:p w14:paraId="19AE5349">
      <w:pPr>
        <w:tabs>
          <w:tab w:val="left" w:pos="820"/>
        </w:tabs>
        <w:jc w:val="left"/>
        <w:rPr>
          <w:color w:val="auto"/>
          <w:highlight w:val="none"/>
        </w:rPr>
      </w:pPr>
    </w:p>
    <w:p w14:paraId="74273876">
      <w:pPr>
        <w:tabs>
          <w:tab w:val="left" w:pos="820"/>
        </w:tabs>
        <w:jc w:val="left"/>
        <w:rPr>
          <w:color w:val="auto"/>
          <w:highlight w:val="none"/>
        </w:rPr>
      </w:pPr>
    </w:p>
    <w:p w14:paraId="2A434083">
      <w:pPr>
        <w:tabs>
          <w:tab w:val="left" w:pos="820"/>
        </w:tabs>
        <w:jc w:val="left"/>
        <w:rPr>
          <w:color w:val="auto"/>
          <w:highlight w:val="none"/>
        </w:rPr>
      </w:pPr>
    </w:p>
    <w:p w14:paraId="4CA83EAD">
      <w:pPr>
        <w:tabs>
          <w:tab w:val="left" w:pos="820"/>
        </w:tabs>
        <w:jc w:val="left"/>
        <w:rPr>
          <w:color w:val="auto"/>
          <w:highlight w:val="none"/>
        </w:rPr>
      </w:pPr>
    </w:p>
    <w:p w14:paraId="7A81723F">
      <w:pPr>
        <w:tabs>
          <w:tab w:val="left" w:pos="820"/>
        </w:tabs>
        <w:jc w:val="left"/>
        <w:rPr>
          <w:color w:val="auto"/>
          <w:highlight w:val="none"/>
        </w:rPr>
      </w:pPr>
    </w:p>
    <w:p w14:paraId="211E6DFA">
      <w:pPr>
        <w:tabs>
          <w:tab w:val="left" w:pos="820"/>
        </w:tabs>
        <w:jc w:val="left"/>
        <w:rPr>
          <w:color w:val="auto"/>
          <w:highlight w:val="none"/>
        </w:rPr>
      </w:pPr>
    </w:p>
    <w:p w14:paraId="7479C766">
      <w:pPr>
        <w:tabs>
          <w:tab w:val="left" w:pos="820"/>
        </w:tabs>
        <w:jc w:val="left"/>
        <w:rPr>
          <w:color w:val="auto"/>
          <w:highlight w:val="none"/>
        </w:rPr>
      </w:pPr>
    </w:p>
    <w:p w14:paraId="7CF706C1">
      <w:pPr>
        <w:tabs>
          <w:tab w:val="left" w:pos="820"/>
        </w:tabs>
        <w:jc w:val="left"/>
        <w:rPr>
          <w:color w:val="auto"/>
          <w:highlight w:val="none"/>
        </w:rPr>
      </w:pPr>
    </w:p>
    <w:p w14:paraId="51E09AD5">
      <w:pPr>
        <w:tabs>
          <w:tab w:val="left" w:pos="820"/>
        </w:tabs>
        <w:jc w:val="left"/>
        <w:rPr>
          <w:color w:val="auto"/>
          <w:highlight w:val="none"/>
        </w:rPr>
      </w:pPr>
    </w:p>
    <w:p w14:paraId="6BE00AFD">
      <w:pPr>
        <w:tabs>
          <w:tab w:val="left" w:pos="420"/>
        </w:tabs>
        <w:ind w:firstLine="640"/>
        <w:jc w:val="left"/>
        <w:rPr>
          <w:color w:val="auto"/>
          <w:highlight w:val="none"/>
        </w:rPr>
      </w:pPr>
      <w:r>
        <w:rPr>
          <w:rFonts w:ascii="Calibri" w:hAnsi="Calibri" w:eastAsia="黑体" w:cs="Times New Roman"/>
          <w:color w:val="auto"/>
          <w:szCs w:val="32"/>
          <w:highlight w:val="none"/>
          <w:lang w:bidi="ar"/>
        </w:rPr>
        <w:br w:type="page"/>
      </w:r>
    </w:p>
    <w:p w14:paraId="7467D821">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附件3.海口市中小企业数字化</w:t>
      </w:r>
      <w:r>
        <w:rPr>
          <w:rFonts w:hint="eastAsia" w:ascii="仿宋_GB2312" w:hAnsi="仿宋_GB2312" w:eastAsia="仿宋_GB2312" w:cs="仿宋_GB2312"/>
          <w:sz w:val="30"/>
          <w:szCs w:val="30"/>
          <w:lang w:eastAsia="zh-CN"/>
        </w:rPr>
        <w:t>转型城市试点项目</w:t>
      </w:r>
      <w:r>
        <w:rPr>
          <w:rFonts w:hint="eastAsia" w:ascii="仿宋_GB2312" w:hAnsi="仿宋_GB2312" w:eastAsia="仿宋_GB2312" w:cs="仿宋_GB2312"/>
          <w:sz w:val="30"/>
          <w:szCs w:val="30"/>
        </w:rPr>
        <w:t>评审申请材料</w:t>
      </w:r>
    </w:p>
    <w:p w14:paraId="13883080">
      <w:pPr>
        <w:ind w:firstLine="640"/>
        <w:rPr>
          <w:rFonts w:ascii="黑体" w:hAnsi="黑体" w:eastAsia="黑体" w:cs="黑体"/>
          <w:color w:val="auto"/>
          <w:sz w:val="48"/>
          <w:szCs w:val="48"/>
          <w:highlight w:val="none"/>
        </w:rPr>
      </w:pPr>
    </w:p>
    <w:p w14:paraId="3652BA97">
      <w:pPr>
        <w:rPr>
          <w:rFonts w:ascii="黑体" w:hAnsi="黑体" w:eastAsia="黑体" w:cs="黑体"/>
          <w:color w:val="auto"/>
          <w:sz w:val="48"/>
          <w:szCs w:val="48"/>
          <w:highlight w:val="none"/>
        </w:rPr>
      </w:pPr>
    </w:p>
    <w:p w14:paraId="6D766D27">
      <w:pPr>
        <w:ind w:firstLine="640"/>
        <w:rPr>
          <w:rFonts w:ascii="黑体" w:hAnsi="黑体" w:eastAsia="黑体" w:cs="黑体"/>
          <w:color w:val="auto"/>
          <w:sz w:val="48"/>
          <w:szCs w:val="48"/>
          <w:highlight w:val="none"/>
        </w:rPr>
      </w:pPr>
    </w:p>
    <w:p w14:paraId="6CB76458">
      <w:pPr>
        <w:jc w:val="center"/>
        <w:rPr>
          <w:rFonts w:ascii="黑体" w:hAnsi="宋体" w:eastAsia="黑体" w:cs="黑体"/>
          <w:color w:val="auto"/>
          <w:sz w:val="44"/>
          <w:szCs w:val="48"/>
          <w:highlight w:val="none"/>
        </w:rPr>
      </w:pPr>
      <w:r>
        <w:rPr>
          <w:rFonts w:hint="eastAsia" w:ascii="黑体" w:hAnsi="宋体" w:eastAsia="黑体" w:cs="黑体"/>
          <w:color w:val="auto"/>
          <w:sz w:val="44"/>
          <w:szCs w:val="48"/>
          <w:highlight w:val="none"/>
          <w:lang w:bidi="ar"/>
          <w14:ligatures w14:val="standardContextual"/>
        </w:rPr>
        <w:t>海口市中小企业数字化转型城市试点项目评审申请材料</w:t>
      </w:r>
    </w:p>
    <w:p w14:paraId="005C7C94">
      <w:pPr>
        <w:jc w:val="center"/>
        <w:rPr>
          <w:rFonts w:ascii="黑体" w:hAnsi="宋体" w:eastAsia="黑体" w:cs="黑体"/>
          <w:color w:val="auto"/>
          <w:sz w:val="44"/>
          <w:szCs w:val="48"/>
          <w:highlight w:val="none"/>
        </w:rPr>
      </w:pPr>
    </w:p>
    <w:p w14:paraId="446ADEEF">
      <w:pPr>
        <w:jc w:val="both"/>
        <w:rPr>
          <w:rFonts w:ascii="黑体" w:hAnsi="宋体" w:eastAsia="黑体" w:cs="黑体"/>
          <w:color w:val="auto"/>
          <w:sz w:val="44"/>
          <w:szCs w:val="48"/>
          <w:highlight w:val="none"/>
        </w:rPr>
      </w:pPr>
    </w:p>
    <w:p w14:paraId="7BC354E1">
      <w:pPr>
        <w:jc w:val="center"/>
        <w:rPr>
          <w:rFonts w:ascii="黑体" w:hAnsi="宋体" w:eastAsia="黑体" w:cs="黑体"/>
          <w:color w:val="auto"/>
          <w:sz w:val="44"/>
          <w:szCs w:val="48"/>
          <w:highlight w:val="none"/>
        </w:rPr>
      </w:pPr>
    </w:p>
    <w:p w14:paraId="6551D945">
      <w:pPr>
        <w:rPr>
          <w:rFonts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lang w:bidi="ar"/>
          <w14:ligatures w14:val="standardContextual"/>
        </w:rPr>
        <w:t>改造企业：</w:t>
      </w:r>
    </w:p>
    <w:p w14:paraId="167B1CCF">
      <w:pPr>
        <w:rPr>
          <w:rFonts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lang w:bidi="ar"/>
          <w14:ligatures w14:val="standardContextual"/>
        </w:rPr>
        <w:t>企业地址：</w:t>
      </w:r>
    </w:p>
    <w:p w14:paraId="550597A6">
      <w:pPr>
        <w:rPr>
          <w:rFonts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lang w:bidi="ar"/>
          <w14:ligatures w14:val="standardContextual"/>
        </w:rPr>
        <w:t>联系人及电话：</w:t>
      </w:r>
    </w:p>
    <w:p w14:paraId="51CF539B">
      <w:pPr>
        <w:rPr>
          <w:rFonts w:ascii="仿宋_GB2312" w:hAnsi="宋体" w:eastAsia="仿宋_GB2312" w:cs="仿宋_GB2312"/>
          <w:color w:val="auto"/>
          <w:sz w:val="32"/>
          <w:szCs w:val="32"/>
          <w:highlight w:val="none"/>
        </w:rPr>
      </w:pPr>
    </w:p>
    <w:p w14:paraId="493AEB1F">
      <w:pPr>
        <w:rPr>
          <w:rFonts w:ascii="仿宋_GB2312" w:hAnsi="宋体" w:eastAsia="仿宋_GB2312" w:cs="仿宋_GB2312"/>
          <w:color w:val="auto"/>
          <w:sz w:val="32"/>
          <w:szCs w:val="32"/>
          <w:highlight w:val="none"/>
        </w:rPr>
      </w:pPr>
    </w:p>
    <w:p w14:paraId="71E41052">
      <w:pPr>
        <w:rPr>
          <w:rFonts w:ascii="仿宋_GB2312" w:hAnsi="宋体" w:eastAsia="仿宋_GB2312" w:cs="仿宋_GB2312"/>
          <w:color w:val="auto"/>
          <w:sz w:val="32"/>
          <w:szCs w:val="32"/>
          <w:highlight w:val="none"/>
        </w:rPr>
      </w:pPr>
    </w:p>
    <w:p w14:paraId="42B0C80E">
      <w:pPr>
        <w:jc w:val="center"/>
        <w:rPr>
          <w:rFonts w:hint="eastAsia" w:ascii="黑体" w:hAnsi="宋体" w:eastAsia="黑体" w:cs="黑体"/>
          <w:color w:val="auto"/>
          <w:sz w:val="32"/>
          <w:szCs w:val="32"/>
          <w:highlight w:val="none"/>
          <w:lang w:bidi="ar"/>
          <w14:ligatures w14:val="standardContextual"/>
        </w:rPr>
      </w:pPr>
      <w:r>
        <w:rPr>
          <w:rFonts w:hint="eastAsia" w:ascii="黑体" w:hAnsi="宋体" w:eastAsia="黑体" w:cs="黑体"/>
          <w:color w:val="auto"/>
          <w:sz w:val="32"/>
          <w:szCs w:val="32"/>
          <w:highlight w:val="none"/>
          <w:lang w:bidi="ar"/>
          <w14:ligatures w14:val="standardContextual"/>
        </w:rPr>
        <w:t>202x年x月</w:t>
      </w:r>
    </w:p>
    <w:p w14:paraId="2378B489">
      <w:pPr>
        <w:jc w:val="center"/>
        <w:rPr>
          <w:rFonts w:hint="eastAsia" w:ascii="黑体" w:hAnsi="宋体" w:eastAsia="黑体" w:cs="黑体"/>
          <w:color w:val="auto"/>
          <w:sz w:val="32"/>
          <w:szCs w:val="32"/>
          <w:highlight w:val="none"/>
          <w:lang w:bidi="ar"/>
          <w14:ligatures w14:val="standardContextual"/>
        </w:rPr>
      </w:pPr>
    </w:p>
    <w:p w14:paraId="2BB70BF1">
      <w:pPr>
        <w:jc w:val="center"/>
        <w:rPr>
          <w:rFonts w:ascii="黑体" w:hAnsi="宋体" w:eastAsia="黑体" w:cs="黑体"/>
          <w:color w:val="auto"/>
          <w:sz w:val="32"/>
          <w:szCs w:val="32"/>
          <w:highlight w:val="none"/>
          <w:lang w:bidi="ar"/>
        </w:rPr>
      </w:pPr>
    </w:p>
    <w:p w14:paraId="2F1C382D">
      <w:pPr>
        <w:pStyle w:val="22"/>
        <w:ind w:firstLine="643"/>
        <w:rPr>
          <w:rFonts w:hint="eastAsia" w:ascii="黑体" w:hAnsi="黑体" w:eastAsia="黑体" w:cs="黑体"/>
          <w:b/>
          <w:bCs/>
          <w:color w:val="auto"/>
          <w:sz w:val="32"/>
          <w:szCs w:val="24"/>
          <w:highlight w:val="none"/>
          <w:lang w:bidi="ar"/>
        </w:rPr>
      </w:pPr>
      <w:r>
        <w:rPr>
          <w:rFonts w:hint="eastAsia" w:ascii="黑体" w:hAnsi="黑体" w:eastAsia="黑体" w:cs="黑体"/>
          <w:b/>
          <w:bCs/>
          <w:color w:val="auto"/>
          <w:sz w:val="32"/>
          <w:szCs w:val="24"/>
          <w:highlight w:val="none"/>
          <w:lang w:bidi="ar"/>
        </w:rPr>
        <w:t>一、项目评审表</w:t>
      </w:r>
    </w:p>
    <w:tbl>
      <w:tblPr>
        <w:tblStyle w:val="8"/>
        <w:tblW w:w="8518" w:type="dxa"/>
        <w:jc w:val="center"/>
        <w:tblLayout w:type="fixed"/>
        <w:tblCellMar>
          <w:top w:w="0" w:type="dxa"/>
          <w:left w:w="10" w:type="dxa"/>
          <w:bottom w:w="0" w:type="dxa"/>
          <w:right w:w="10" w:type="dxa"/>
        </w:tblCellMar>
      </w:tblPr>
      <w:tblGrid>
        <w:gridCol w:w="2267"/>
        <w:gridCol w:w="1276"/>
        <w:gridCol w:w="2966"/>
        <w:gridCol w:w="2009"/>
      </w:tblGrid>
      <w:tr w14:paraId="58EBD76F">
        <w:tblPrEx>
          <w:tblCellMar>
            <w:top w:w="0" w:type="dxa"/>
            <w:left w:w="10" w:type="dxa"/>
            <w:bottom w:w="0" w:type="dxa"/>
            <w:right w:w="10" w:type="dxa"/>
          </w:tblCellMar>
        </w:tblPrEx>
        <w:trPr>
          <w:trHeight w:val="472" w:hRule="exact"/>
          <w:jc w:val="center"/>
        </w:trPr>
        <w:tc>
          <w:tcPr>
            <w:tcW w:w="8518" w:type="dxa"/>
            <w:gridSpan w:val="4"/>
            <w:tcBorders>
              <w:top w:val="single" w:color="auto" w:sz="4" w:space="0"/>
              <w:left w:val="single" w:color="auto" w:sz="4" w:space="0"/>
              <w:bottom w:val="nil"/>
              <w:right w:val="single" w:color="auto" w:sz="4" w:space="0"/>
            </w:tcBorders>
            <w:shd w:val="clear" w:color="auto" w:fill="FFFFFF"/>
            <w:vAlign w:val="bottom"/>
          </w:tcPr>
          <w:p w14:paraId="3CD73C74">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bidi="ar"/>
                <w14:ligatures w14:val="standardContextual"/>
              </w:rPr>
              <w:t>企业基本信息</w:t>
            </w:r>
          </w:p>
        </w:tc>
      </w:tr>
      <w:tr w14:paraId="72AB5A36">
        <w:tblPrEx>
          <w:tblCellMar>
            <w:top w:w="0" w:type="dxa"/>
            <w:left w:w="10" w:type="dxa"/>
            <w:bottom w:w="0" w:type="dxa"/>
            <w:right w:w="10" w:type="dxa"/>
          </w:tblCellMar>
        </w:tblPrEx>
        <w:trPr>
          <w:trHeight w:val="472" w:hRule="exact"/>
          <w:jc w:val="center"/>
        </w:trPr>
        <w:tc>
          <w:tcPr>
            <w:tcW w:w="2267" w:type="dxa"/>
            <w:tcBorders>
              <w:top w:val="single" w:color="auto" w:sz="4" w:space="0"/>
              <w:left w:val="single" w:color="auto" w:sz="4" w:space="0"/>
              <w:bottom w:val="nil"/>
              <w:right w:val="nil"/>
            </w:tcBorders>
            <w:shd w:val="clear" w:color="auto" w:fill="FFFFFF"/>
            <w:vAlign w:val="bottom"/>
          </w:tcPr>
          <w:p w14:paraId="1223BEEB">
            <w:pPr>
              <w:pStyle w:val="21"/>
              <w:spacing w:line="240" w:lineRule="auto"/>
              <w:ind w:firstLine="0" w:firstLineChars="0"/>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企业名称</w:t>
            </w:r>
          </w:p>
        </w:tc>
        <w:tc>
          <w:tcPr>
            <w:tcW w:w="6251" w:type="dxa"/>
            <w:gridSpan w:val="3"/>
            <w:tcBorders>
              <w:top w:val="single" w:color="auto" w:sz="4" w:space="0"/>
              <w:left w:val="single" w:color="auto" w:sz="4" w:space="0"/>
              <w:bottom w:val="nil"/>
              <w:right w:val="single" w:color="auto" w:sz="4" w:space="0"/>
            </w:tcBorders>
            <w:shd w:val="clear" w:color="auto" w:fill="FFFFFF"/>
          </w:tcPr>
          <w:p w14:paraId="1D6BC415">
            <w:pPr>
              <w:ind w:firstLine="480"/>
              <w:rPr>
                <w:rFonts w:ascii="仿宋_GB2312" w:hAnsi="仿宋_GB2312" w:eastAsia="等线" w:cs="仿宋_GB2312"/>
                <w:color w:val="auto"/>
                <w:sz w:val="24"/>
                <w:szCs w:val="24"/>
                <w:highlight w:val="none"/>
              </w:rPr>
            </w:pPr>
          </w:p>
        </w:tc>
      </w:tr>
      <w:tr w14:paraId="349AE763">
        <w:tblPrEx>
          <w:tblCellMar>
            <w:top w:w="0" w:type="dxa"/>
            <w:left w:w="10" w:type="dxa"/>
            <w:bottom w:w="0" w:type="dxa"/>
            <w:right w:w="10" w:type="dxa"/>
          </w:tblCellMar>
        </w:tblPrEx>
        <w:trPr>
          <w:trHeight w:val="1138" w:hRule="exact"/>
          <w:jc w:val="center"/>
        </w:trPr>
        <w:tc>
          <w:tcPr>
            <w:tcW w:w="2267" w:type="dxa"/>
            <w:tcBorders>
              <w:top w:val="single" w:color="auto" w:sz="4" w:space="0"/>
              <w:left w:val="single" w:color="auto" w:sz="4" w:space="0"/>
              <w:bottom w:val="nil"/>
              <w:right w:val="nil"/>
            </w:tcBorders>
            <w:shd w:val="clear" w:color="auto" w:fill="FFFFFF"/>
            <w:vAlign w:val="center"/>
          </w:tcPr>
          <w:p w14:paraId="3B0693CC">
            <w:pPr>
              <w:pStyle w:val="21"/>
              <w:spacing w:line="240" w:lineRule="auto"/>
              <w:ind w:firstLine="0" w:firstLineChars="0"/>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承担单位</w:t>
            </w:r>
          </w:p>
        </w:tc>
        <w:tc>
          <w:tcPr>
            <w:tcW w:w="6251" w:type="dxa"/>
            <w:gridSpan w:val="3"/>
            <w:tcBorders>
              <w:top w:val="single" w:color="auto" w:sz="4" w:space="0"/>
              <w:left w:val="single" w:color="auto" w:sz="4" w:space="0"/>
              <w:bottom w:val="nil"/>
              <w:right w:val="single" w:color="auto" w:sz="4" w:space="0"/>
            </w:tcBorders>
            <w:shd w:val="clear" w:color="auto" w:fill="FFFFFF"/>
            <w:vAlign w:val="center"/>
          </w:tcPr>
          <w:p w14:paraId="2E708CEF">
            <w:pPr>
              <w:pStyle w:val="21"/>
              <w:spacing w:line="240" w:lineRule="auto"/>
              <w:ind w:firstLine="0" w:firstLineChars="0"/>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数字化集成服务商：</w:t>
            </w:r>
          </w:p>
          <w:p w14:paraId="6273D577">
            <w:pPr>
              <w:rPr>
                <w:rFonts w:ascii="仿宋_GB2312" w:hAnsi="仿宋_GB2312" w:eastAsia="等线" w:cs="仿宋_GB2312"/>
                <w:color w:val="auto"/>
                <w:sz w:val="24"/>
                <w:szCs w:val="24"/>
                <w:highlight w:val="none"/>
              </w:rPr>
            </w:pPr>
            <w:r>
              <w:rPr>
                <w:rFonts w:hint="eastAsia" w:ascii="仿宋_GB2312" w:hAnsi="仿宋_GB2312" w:eastAsia="仿宋_GB2312" w:cs="仿宋_GB2312"/>
                <w:color w:val="auto"/>
                <w:sz w:val="24"/>
                <w:szCs w:val="24"/>
                <w:highlight w:val="none"/>
                <w:lang w:bidi="ar"/>
                <w14:ligatures w14:val="standardContextual"/>
              </w:rPr>
              <w:t>数字化产品提供商：</w:t>
            </w:r>
          </w:p>
        </w:tc>
      </w:tr>
      <w:tr w14:paraId="4A20A96B">
        <w:tblPrEx>
          <w:tblCellMar>
            <w:top w:w="0" w:type="dxa"/>
            <w:left w:w="10" w:type="dxa"/>
            <w:bottom w:w="0" w:type="dxa"/>
            <w:right w:w="10" w:type="dxa"/>
          </w:tblCellMar>
        </w:tblPrEx>
        <w:trPr>
          <w:trHeight w:val="1794" w:hRule="exact"/>
          <w:jc w:val="center"/>
        </w:trPr>
        <w:tc>
          <w:tcPr>
            <w:tcW w:w="2267" w:type="dxa"/>
            <w:tcBorders>
              <w:top w:val="single" w:color="auto" w:sz="4" w:space="0"/>
              <w:left w:val="single" w:color="auto" w:sz="4" w:space="0"/>
              <w:bottom w:val="nil"/>
              <w:right w:val="nil"/>
            </w:tcBorders>
            <w:shd w:val="clear" w:color="auto" w:fill="FFFFFF"/>
            <w:vAlign w:val="center"/>
          </w:tcPr>
          <w:p w14:paraId="361E57EC">
            <w:pPr>
              <w:pStyle w:val="21"/>
              <w:spacing w:line="240" w:lineRule="auto"/>
              <w:ind w:firstLine="0" w:firstLineChars="0"/>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专精特新认定</w:t>
            </w:r>
          </w:p>
        </w:tc>
        <w:tc>
          <w:tcPr>
            <w:tcW w:w="6251" w:type="dxa"/>
            <w:gridSpan w:val="3"/>
            <w:tcBorders>
              <w:top w:val="single" w:color="auto" w:sz="4" w:space="0"/>
              <w:left w:val="single" w:color="auto" w:sz="4" w:space="0"/>
              <w:bottom w:val="nil"/>
              <w:right w:val="single" w:color="auto" w:sz="4" w:space="0"/>
            </w:tcBorders>
            <w:shd w:val="clear" w:color="auto" w:fill="FFFFFF"/>
            <w:vAlign w:val="center"/>
          </w:tcPr>
          <w:p w14:paraId="1111F092">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14:ligatures w14:val="standardContextual"/>
              </w:rPr>
              <w:t>□创新型中小企业</w:t>
            </w:r>
          </w:p>
          <w:p w14:paraId="6F4523A4">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14:ligatures w14:val="standardContextual"/>
              </w:rPr>
              <w:t>□专精特新中小企业</w:t>
            </w:r>
          </w:p>
          <w:p w14:paraId="3F1A7FDF">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14:ligatures w14:val="standardContextual"/>
              </w:rPr>
              <w:t>□专精特新“小巨人”企业</w:t>
            </w:r>
          </w:p>
          <w:p w14:paraId="45D7F261">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14:ligatures w14:val="standardContextual"/>
              </w:rPr>
              <w:t>□无</w:t>
            </w:r>
          </w:p>
        </w:tc>
      </w:tr>
      <w:tr w14:paraId="5A47D59A">
        <w:tblPrEx>
          <w:tblCellMar>
            <w:top w:w="0" w:type="dxa"/>
            <w:left w:w="10" w:type="dxa"/>
            <w:bottom w:w="0" w:type="dxa"/>
            <w:right w:w="10" w:type="dxa"/>
          </w:tblCellMar>
        </w:tblPrEx>
        <w:trPr>
          <w:trHeight w:val="2272" w:hRule="exact"/>
          <w:jc w:val="center"/>
        </w:trPr>
        <w:tc>
          <w:tcPr>
            <w:tcW w:w="2267" w:type="dxa"/>
            <w:tcBorders>
              <w:top w:val="single" w:color="auto" w:sz="4" w:space="0"/>
              <w:left w:val="single" w:color="auto" w:sz="4" w:space="0"/>
              <w:bottom w:val="nil"/>
              <w:right w:val="nil"/>
            </w:tcBorders>
            <w:shd w:val="clear" w:color="auto" w:fill="FFFFFF"/>
            <w:vAlign w:val="center"/>
          </w:tcPr>
          <w:p w14:paraId="08C9A1CB">
            <w:pPr>
              <w:pStyle w:val="21"/>
              <w:spacing w:line="240" w:lineRule="auto"/>
              <w:ind w:firstLine="0" w:firstLineChars="0"/>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改造后中小企业数字化水平评测等级（应与数字化集成服务商出具的结果一致）</w:t>
            </w:r>
          </w:p>
        </w:tc>
        <w:tc>
          <w:tcPr>
            <w:tcW w:w="6251" w:type="dxa"/>
            <w:gridSpan w:val="3"/>
            <w:tcBorders>
              <w:top w:val="single" w:color="auto" w:sz="4" w:space="0"/>
              <w:left w:val="single" w:color="auto" w:sz="4" w:space="0"/>
              <w:bottom w:val="nil"/>
              <w:right w:val="single" w:color="auto" w:sz="4" w:space="0"/>
            </w:tcBorders>
            <w:shd w:val="clear" w:color="auto" w:fill="FFFFFF"/>
            <w:vAlign w:val="center"/>
          </w:tcPr>
          <w:p w14:paraId="3A6E30CA">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14:ligatures w14:val="standardContextual"/>
              </w:rPr>
              <w:t>□二级</w:t>
            </w:r>
          </w:p>
          <w:p w14:paraId="2C407BD3">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14:ligatures w14:val="standardContextual"/>
              </w:rPr>
              <w:t>□三级</w:t>
            </w:r>
          </w:p>
          <w:p w14:paraId="5A7ED39B">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14:ligatures w14:val="standardContextual"/>
              </w:rPr>
              <w:t>□四级</w:t>
            </w:r>
          </w:p>
        </w:tc>
      </w:tr>
      <w:tr w14:paraId="15D15298">
        <w:tblPrEx>
          <w:tblCellMar>
            <w:top w:w="0" w:type="dxa"/>
            <w:left w:w="10" w:type="dxa"/>
            <w:bottom w:w="0" w:type="dxa"/>
            <w:right w:w="10" w:type="dxa"/>
          </w:tblCellMar>
        </w:tblPrEx>
        <w:trPr>
          <w:trHeight w:val="520" w:hRule="exact"/>
          <w:jc w:val="center"/>
        </w:trPr>
        <w:tc>
          <w:tcPr>
            <w:tcW w:w="2267" w:type="dxa"/>
            <w:vMerge w:val="restart"/>
            <w:tcBorders>
              <w:top w:val="single" w:color="auto" w:sz="4" w:space="0"/>
              <w:left w:val="single" w:color="auto" w:sz="4" w:space="0"/>
              <w:bottom w:val="nil"/>
              <w:right w:val="single" w:color="auto" w:sz="4" w:space="0"/>
            </w:tcBorders>
            <w:shd w:val="clear" w:color="auto" w:fill="FFFFFF"/>
            <w:vAlign w:val="center"/>
          </w:tcPr>
          <w:p w14:paraId="0137238C">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项目支出总额（万元）</w:t>
            </w:r>
          </w:p>
        </w:tc>
        <w:tc>
          <w:tcPr>
            <w:tcW w:w="1276" w:type="dxa"/>
            <w:vMerge w:val="restart"/>
            <w:tcBorders>
              <w:top w:val="single" w:color="auto" w:sz="4" w:space="0"/>
              <w:left w:val="single" w:color="auto" w:sz="4" w:space="0"/>
              <w:bottom w:val="nil"/>
              <w:right w:val="single" w:color="auto" w:sz="4" w:space="0"/>
            </w:tcBorders>
            <w:shd w:val="clear" w:color="auto" w:fill="FFFFFF"/>
            <w:vAlign w:val="center"/>
          </w:tcPr>
          <w:p w14:paraId="201DAC16">
            <w:pPr>
              <w:pStyle w:val="21"/>
              <w:spacing w:line="240" w:lineRule="auto"/>
              <w:ind w:firstLine="0" w:firstLineChars="0"/>
              <w:rPr>
                <w:rFonts w:hint="default" w:ascii="仿宋_GB2312" w:hAnsi="仿宋_GB2312" w:eastAsia="仿宋_GB2312" w:cs="仿宋_GB2312"/>
                <w:color w:val="auto"/>
                <w:sz w:val="24"/>
                <w:szCs w:val="24"/>
                <w:highlight w:val="none"/>
              </w:rPr>
            </w:pPr>
          </w:p>
        </w:tc>
        <w:tc>
          <w:tcPr>
            <w:tcW w:w="2966" w:type="dxa"/>
            <w:tcBorders>
              <w:top w:val="single" w:color="auto" w:sz="4" w:space="0"/>
              <w:left w:val="single" w:color="auto" w:sz="4" w:space="0"/>
              <w:bottom w:val="nil"/>
              <w:right w:val="single" w:color="auto" w:sz="4" w:space="0"/>
            </w:tcBorders>
            <w:shd w:val="clear" w:color="auto" w:fill="FFFFFF"/>
            <w:vAlign w:val="center"/>
          </w:tcPr>
          <w:p w14:paraId="12FCAE32">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软件支出（万元）</w:t>
            </w:r>
          </w:p>
        </w:tc>
        <w:tc>
          <w:tcPr>
            <w:tcW w:w="2009" w:type="dxa"/>
            <w:tcBorders>
              <w:top w:val="single" w:color="auto" w:sz="4" w:space="0"/>
              <w:left w:val="single" w:color="auto" w:sz="4" w:space="0"/>
              <w:bottom w:val="nil"/>
              <w:right w:val="single" w:color="auto" w:sz="4" w:space="0"/>
            </w:tcBorders>
            <w:shd w:val="clear" w:color="auto" w:fill="FFFFFF"/>
            <w:vAlign w:val="center"/>
          </w:tcPr>
          <w:p w14:paraId="12D6167C">
            <w:pPr>
              <w:pStyle w:val="21"/>
              <w:spacing w:line="240" w:lineRule="auto"/>
              <w:ind w:firstLine="0" w:firstLineChars="0"/>
              <w:rPr>
                <w:rFonts w:hint="default" w:ascii="仿宋_GB2312" w:hAnsi="仿宋_GB2312" w:eastAsia="仿宋_GB2312" w:cs="仿宋_GB2312"/>
                <w:color w:val="auto"/>
                <w:sz w:val="24"/>
                <w:szCs w:val="24"/>
                <w:highlight w:val="none"/>
              </w:rPr>
            </w:pPr>
          </w:p>
        </w:tc>
      </w:tr>
      <w:tr w14:paraId="257965A2">
        <w:tblPrEx>
          <w:tblCellMar>
            <w:top w:w="0" w:type="dxa"/>
            <w:left w:w="10" w:type="dxa"/>
            <w:bottom w:w="0" w:type="dxa"/>
            <w:right w:w="10" w:type="dxa"/>
          </w:tblCellMar>
        </w:tblPrEx>
        <w:trPr>
          <w:trHeight w:val="520" w:hRule="exact"/>
          <w:jc w:val="center"/>
        </w:trPr>
        <w:tc>
          <w:tcPr>
            <w:tcW w:w="2267" w:type="dxa"/>
            <w:vMerge w:val="continue"/>
            <w:tcBorders>
              <w:top w:val="single" w:color="auto" w:sz="4" w:space="0"/>
              <w:left w:val="single" w:color="auto" w:sz="4" w:space="0"/>
              <w:bottom w:val="nil"/>
              <w:right w:val="single" w:color="auto" w:sz="4" w:space="0"/>
            </w:tcBorders>
            <w:shd w:val="clear" w:color="auto" w:fill="FFFFFF"/>
            <w:vAlign w:val="center"/>
          </w:tcPr>
          <w:p w14:paraId="0F9F209B">
            <w:pPr>
              <w:rPr>
                <w:rFonts w:ascii="等线" w:hAnsi="等线" w:eastAsia="等线" w:cs="等线"/>
                <w:color w:val="auto"/>
                <w:sz w:val="24"/>
                <w:szCs w:val="24"/>
                <w:highlight w:val="none"/>
              </w:rPr>
            </w:pPr>
          </w:p>
        </w:tc>
        <w:tc>
          <w:tcPr>
            <w:tcW w:w="1276" w:type="dxa"/>
            <w:vMerge w:val="continue"/>
            <w:tcBorders>
              <w:top w:val="single" w:color="auto" w:sz="4" w:space="0"/>
              <w:left w:val="single" w:color="auto" w:sz="4" w:space="0"/>
              <w:bottom w:val="nil"/>
              <w:right w:val="single" w:color="auto" w:sz="4" w:space="0"/>
            </w:tcBorders>
            <w:shd w:val="clear" w:color="auto" w:fill="FFFFFF"/>
            <w:vAlign w:val="center"/>
          </w:tcPr>
          <w:p w14:paraId="6F314FF5">
            <w:pPr>
              <w:rPr>
                <w:rFonts w:ascii="等线" w:hAnsi="等线" w:eastAsia="等线" w:cs="等线"/>
                <w:color w:val="auto"/>
                <w:sz w:val="24"/>
                <w:szCs w:val="24"/>
                <w:highlight w:val="none"/>
              </w:rPr>
            </w:pPr>
          </w:p>
        </w:tc>
        <w:tc>
          <w:tcPr>
            <w:tcW w:w="2966" w:type="dxa"/>
            <w:tcBorders>
              <w:top w:val="single" w:color="auto" w:sz="4" w:space="0"/>
              <w:left w:val="single" w:color="auto" w:sz="4" w:space="0"/>
              <w:bottom w:val="nil"/>
              <w:right w:val="single" w:color="auto" w:sz="4" w:space="0"/>
            </w:tcBorders>
            <w:shd w:val="clear" w:color="auto" w:fill="FFFFFF"/>
            <w:vAlign w:val="center"/>
          </w:tcPr>
          <w:p w14:paraId="65F1E3F8">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云服务（万元）</w:t>
            </w:r>
          </w:p>
        </w:tc>
        <w:tc>
          <w:tcPr>
            <w:tcW w:w="2009" w:type="dxa"/>
            <w:tcBorders>
              <w:top w:val="single" w:color="auto" w:sz="4" w:space="0"/>
              <w:left w:val="single" w:color="auto" w:sz="4" w:space="0"/>
              <w:bottom w:val="nil"/>
              <w:right w:val="single" w:color="auto" w:sz="4" w:space="0"/>
            </w:tcBorders>
            <w:shd w:val="clear" w:color="auto" w:fill="FFFFFF"/>
            <w:vAlign w:val="center"/>
          </w:tcPr>
          <w:p w14:paraId="25E35139">
            <w:pPr>
              <w:pStyle w:val="21"/>
              <w:spacing w:line="240" w:lineRule="auto"/>
              <w:ind w:firstLine="0" w:firstLineChars="0"/>
              <w:rPr>
                <w:rFonts w:hint="default" w:ascii="仿宋_GB2312" w:hAnsi="仿宋_GB2312" w:eastAsia="仿宋_GB2312" w:cs="仿宋_GB2312"/>
                <w:color w:val="auto"/>
                <w:sz w:val="24"/>
                <w:szCs w:val="24"/>
                <w:highlight w:val="none"/>
              </w:rPr>
            </w:pPr>
          </w:p>
        </w:tc>
      </w:tr>
      <w:tr w14:paraId="20B134DB">
        <w:tblPrEx>
          <w:tblCellMar>
            <w:top w:w="0" w:type="dxa"/>
            <w:left w:w="10" w:type="dxa"/>
            <w:bottom w:w="0" w:type="dxa"/>
            <w:right w:w="10" w:type="dxa"/>
          </w:tblCellMar>
        </w:tblPrEx>
        <w:trPr>
          <w:trHeight w:val="594" w:hRule="exact"/>
          <w:jc w:val="center"/>
        </w:trPr>
        <w:tc>
          <w:tcPr>
            <w:tcW w:w="2267" w:type="dxa"/>
            <w:vMerge w:val="continue"/>
            <w:tcBorders>
              <w:top w:val="single" w:color="auto" w:sz="4" w:space="0"/>
              <w:left w:val="single" w:color="auto" w:sz="4" w:space="0"/>
              <w:bottom w:val="nil"/>
              <w:right w:val="single" w:color="auto" w:sz="4" w:space="0"/>
            </w:tcBorders>
            <w:shd w:val="clear" w:color="auto" w:fill="FFFFFF"/>
            <w:vAlign w:val="center"/>
          </w:tcPr>
          <w:p w14:paraId="03F6859B">
            <w:pPr>
              <w:rPr>
                <w:rFonts w:ascii="等线" w:hAnsi="等线" w:eastAsia="等线" w:cs="等线"/>
                <w:color w:val="auto"/>
                <w:sz w:val="24"/>
                <w:szCs w:val="24"/>
                <w:highlight w:val="none"/>
              </w:rPr>
            </w:pPr>
          </w:p>
        </w:tc>
        <w:tc>
          <w:tcPr>
            <w:tcW w:w="1276" w:type="dxa"/>
            <w:vMerge w:val="continue"/>
            <w:tcBorders>
              <w:top w:val="single" w:color="auto" w:sz="4" w:space="0"/>
              <w:left w:val="single" w:color="auto" w:sz="4" w:space="0"/>
              <w:bottom w:val="nil"/>
              <w:right w:val="single" w:color="auto" w:sz="4" w:space="0"/>
            </w:tcBorders>
            <w:shd w:val="clear" w:color="auto" w:fill="FFFFFF"/>
            <w:vAlign w:val="center"/>
          </w:tcPr>
          <w:p w14:paraId="4C68F66E">
            <w:pPr>
              <w:rPr>
                <w:rFonts w:ascii="等线" w:hAnsi="等线" w:eastAsia="等线" w:cs="等线"/>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shd w:val="clear" w:color="auto" w:fill="FFFFFF"/>
            <w:vAlign w:val="center"/>
          </w:tcPr>
          <w:p w14:paraId="780DBD55">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数据采集设备支出（万元）</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14:paraId="412A54F1">
            <w:pPr>
              <w:pStyle w:val="21"/>
              <w:spacing w:line="240" w:lineRule="auto"/>
              <w:ind w:firstLine="0" w:firstLineChars="0"/>
              <w:rPr>
                <w:rFonts w:hint="default" w:ascii="仿宋_GB2312" w:hAnsi="仿宋_GB2312" w:eastAsia="仿宋_GB2312" w:cs="仿宋_GB2312"/>
                <w:color w:val="auto"/>
                <w:sz w:val="24"/>
                <w:szCs w:val="24"/>
                <w:highlight w:val="none"/>
              </w:rPr>
            </w:pPr>
          </w:p>
        </w:tc>
      </w:tr>
      <w:tr w14:paraId="0001FA9A">
        <w:tblPrEx>
          <w:tblCellMar>
            <w:top w:w="0" w:type="dxa"/>
            <w:left w:w="10" w:type="dxa"/>
            <w:bottom w:w="0" w:type="dxa"/>
            <w:right w:w="10" w:type="dxa"/>
          </w:tblCellMar>
        </w:tblPrEx>
        <w:trPr>
          <w:trHeight w:val="584" w:hRule="exact"/>
          <w:jc w:val="center"/>
        </w:trPr>
        <w:tc>
          <w:tcPr>
            <w:tcW w:w="2267" w:type="dxa"/>
            <w:vMerge w:val="continue"/>
            <w:tcBorders>
              <w:top w:val="single" w:color="auto" w:sz="4" w:space="0"/>
              <w:left w:val="single" w:color="auto" w:sz="4" w:space="0"/>
              <w:bottom w:val="nil"/>
              <w:right w:val="single" w:color="auto" w:sz="4" w:space="0"/>
            </w:tcBorders>
            <w:shd w:val="clear" w:color="auto" w:fill="FFFFFF"/>
            <w:vAlign w:val="center"/>
          </w:tcPr>
          <w:p w14:paraId="087C0BB5">
            <w:pPr>
              <w:rPr>
                <w:rFonts w:ascii="等线" w:hAnsi="等线" w:eastAsia="等线" w:cs="等线"/>
                <w:color w:val="auto"/>
                <w:sz w:val="24"/>
                <w:szCs w:val="24"/>
                <w:highlight w:val="none"/>
              </w:rPr>
            </w:pPr>
          </w:p>
        </w:tc>
        <w:tc>
          <w:tcPr>
            <w:tcW w:w="1276" w:type="dxa"/>
            <w:vMerge w:val="continue"/>
            <w:tcBorders>
              <w:top w:val="single" w:color="auto" w:sz="4" w:space="0"/>
              <w:left w:val="single" w:color="auto" w:sz="4" w:space="0"/>
              <w:bottom w:val="nil"/>
              <w:right w:val="single" w:color="auto" w:sz="4" w:space="0"/>
            </w:tcBorders>
            <w:shd w:val="clear" w:color="auto" w:fill="FFFFFF"/>
            <w:vAlign w:val="center"/>
          </w:tcPr>
          <w:p w14:paraId="7B18B237">
            <w:pPr>
              <w:rPr>
                <w:rFonts w:ascii="等线" w:hAnsi="等线" w:eastAsia="等线" w:cs="等线"/>
                <w:color w:val="auto"/>
                <w:sz w:val="24"/>
                <w:szCs w:val="24"/>
                <w:highlight w:val="none"/>
              </w:rPr>
            </w:pPr>
          </w:p>
        </w:tc>
        <w:tc>
          <w:tcPr>
            <w:tcW w:w="2966" w:type="dxa"/>
            <w:tcBorders>
              <w:top w:val="single" w:color="auto" w:sz="4" w:space="0"/>
              <w:left w:val="single" w:color="auto" w:sz="4" w:space="0"/>
              <w:bottom w:val="nil"/>
              <w:right w:val="single" w:color="auto" w:sz="4" w:space="0"/>
            </w:tcBorders>
            <w:shd w:val="clear" w:color="auto" w:fill="FFFFFF"/>
            <w:vAlign w:val="center"/>
          </w:tcPr>
          <w:p w14:paraId="32E304E3">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咨询等服务支出（万元）</w:t>
            </w:r>
          </w:p>
        </w:tc>
        <w:tc>
          <w:tcPr>
            <w:tcW w:w="2009" w:type="dxa"/>
            <w:tcBorders>
              <w:top w:val="single" w:color="auto" w:sz="4" w:space="0"/>
              <w:left w:val="single" w:color="auto" w:sz="4" w:space="0"/>
              <w:bottom w:val="nil"/>
              <w:right w:val="single" w:color="auto" w:sz="4" w:space="0"/>
            </w:tcBorders>
            <w:shd w:val="clear" w:color="auto" w:fill="FFFFFF"/>
            <w:vAlign w:val="center"/>
          </w:tcPr>
          <w:p w14:paraId="700D2485">
            <w:pPr>
              <w:pStyle w:val="21"/>
              <w:spacing w:line="240" w:lineRule="auto"/>
              <w:ind w:firstLine="0" w:firstLineChars="0"/>
              <w:rPr>
                <w:rFonts w:hint="default" w:ascii="仿宋_GB2312" w:hAnsi="仿宋_GB2312" w:eastAsia="仿宋_GB2312" w:cs="仿宋_GB2312"/>
                <w:color w:val="auto"/>
                <w:sz w:val="24"/>
                <w:szCs w:val="24"/>
                <w:highlight w:val="none"/>
              </w:rPr>
            </w:pPr>
          </w:p>
        </w:tc>
      </w:tr>
      <w:tr w14:paraId="623A0551">
        <w:tblPrEx>
          <w:tblCellMar>
            <w:top w:w="0" w:type="dxa"/>
            <w:left w:w="10" w:type="dxa"/>
            <w:bottom w:w="0" w:type="dxa"/>
            <w:right w:w="10" w:type="dxa"/>
          </w:tblCellMar>
        </w:tblPrEx>
        <w:trPr>
          <w:trHeight w:val="1709" w:hRule="exact"/>
          <w:jc w:val="center"/>
        </w:trPr>
        <w:tc>
          <w:tcPr>
            <w:tcW w:w="2267" w:type="dxa"/>
            <w:tcBorders>
              <w:top w:val="single" w:color="auto" w:sz="4" w:space="0"/>
              <w:left w:val="single" w:color="auto" w:sz="4" w:space="0"/>
              <w:bottom w:val="nil"/>
              <w:right w:val="single" w:color="auto" w:sz="4" w:space="0"/>
            </w:tcBorders>
            <w:shd w:val="clear" w:color="auto" w:fill="FFFFFF"/>
            <w:vAlign w:val="center"/>
          </w:tcPr>
          <w:p w14:paraId="44D30FBB">
            <w:pPr>
              <w:pStyle w:val="21"/>
              <w:spacing w:line="240" w:lineRule="auto"/>
              <w:ind w:firstLine="0" w:firstLineChars="0"/>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改造环节</w:t>
            </w:r>
          </w:p>
        </w:tc>
        <w:tc>
          <w:tcPr>
            <w:tcW w:w="6251" w:type="dxa"/>
            <w:gridSpan w:val="3"/>
            <w:tcBorders>
              <w:top w:val="single" w:color="auto" w:sz="4" w:space="0"/>
              <w:left w:val="single" w:color="auto" w:sz="4" w:space="0"/>
              <w:bottom w:val="nil"/>
              <w:right w:val="single" w:color="auto" w:sz="4" w:space="0"/>
            </w:tcBorders>
            <w:shd w:val="clear" w:color="auto" w:fill="FFFFFF"/>
            <w:vAlign w:val="center"/>
          </w:tcPr>
          <w:p w14:paraId="2D7E68DF">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14:ligatures w14:val="standardContextual"/>
              </w:rPr>
              <w:t>□研发设计 □生产计划 □生产监控 □生产作业 □质量控制 □仓储物流 □采购供应 □营销管理 □产品服务 □业务协同 □数据/系统集成</w:t>
            </w:r>
          </w:p>
        </w:tc>
      </w:tr>
      <w:tr w14:paraId="4FD54D0A">
        <w:tblPrEx>
          <w:tblCellMar>
            <w:top w:w="0" w:type="dxa"/>
            <w:left w:w="10" w:type="dxa"/>
            <w:bottom w:w="0" w:type="dxa"/>
            <w:right w:w="10" w:type="dxa"/>
          </w:tblCellMar>
        </w:tblPrEx>
        <w:trPr>
          <w:trHeight w:val="1279" w:hRule="exact"/>
          <w:jc w:val="center"/>
        </w:trPr>
        <w:tc>
          <w:tcPr>
            <w:tcW w:w="226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EDE6E99">
            <w:pPr>
              <w:pStyle w:val="21"/>
              <w:spacing w:line="240" w:lineRule="auto"/>
              <w:ind w:firstLine="0" w:firstLineChars="0"/>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上云用云</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271D72C1">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基础设施上云</w:t>
            </w:r>
          </w:p>
        </w:tc>
        <w:tc>
          <w:tcPr>
            <w:tcW w:w="49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240B2D3">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□云存储 □云服务器 □云数据库 □云安全产品/服务</w:t>
            </w:r>
          </w:p>
        </w:tc>
      </w:tr>
      <w:tr w14:paraId="355C378D">
        <w:tblPrEx>
          <w:tblCellMar>
            <w:top w:w="0" w:type="dxa"/>
            <w:left w:w="10" w:type="dxa"/>
            <w:bottom w:w="0" w:type="dxa"/>
            <w:right w:w="10" w:type="dxa"/>
          </w:tblCellMar>
        </w:tblPrEx>
        <w:trPr>
          <w:trHeight w:val="1270" w:hRule="exact"/>
          <w:jc w:val="center"/>
        </w:trPr>
        <w:tc>
          <w:tcPr>
            <w:tcW w:w="2267" w:type="dxa"/>
            <w:vMerge w:val="continue"/>
            <w:tcBorders>
              <w:top w:val="single" w:color="auto" w:sz="4" w:space="0"/>
              <w:left w:val="single" w:color="auto" w:sz="4" w:space="0"/>
              <w:bottom w:val="nil"/>
              <w:right w:val="single" w:color="auto" w:sz="4" w:space="0"/>
            </w:tcBorders>
            <w:shd w:val="clear" w:color="auto" w:fill="FFFFFF"/>
            <w:vAlign w:val="center"/>
          </w:tcPr>
          <w:p w14:paraId="2FECE8C4">
            <w:pPr>
              <w:rPr>
                <w:rFonts w:ascii="等线" w:hAnsi="等线" w:eastAsia="等线" w:cs="等线"/>
                <w:color w:val="auto"/>
                <w:sz w:val="24"/>
                <w:szCs w:val="24"/>
                <w:highlight w:val="none"/>
              </w:rPr>
            </w:pPr>
          </w:p>
        </w:tc>
        <w:tc>
          <w:tcPr>
            <w:tcW w:w="1276" w:type="dxa"/>
            <w:tcBorders>
              <w:top w:val="single" w:color="auto" w:sz="4" w:space="0"/>
              <w:left w:val="single" w:color="auto" w:sz="4" w:space="0"/>
              <w:bottom w:val="nil"/>
              <w:right w:val="single" w:color="auto" w:sz="4" w:space="0"/>
            </w:tcBorders>
            <w:shd w:val="clear" w:color="auto" w:fill="FFFFFF"/>
            <w:vAlign w:val="center"/>
          </w:tcPr>
          <w:p w14:paraId="28FF84C3">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管理上云</w:t>
            </w:r>
          </w:p>
        </w:tc>
        <w:tc>
          <w:tcPr>
            <w:tcW w:w="4975" w:type="dxa"/>
            <w:gridSpan w:val="2"/>
            <w:tcBorders>
              <w:top w:val="single" w:color="auto" w:sz="4" w:space="0"/>
              <w:left w:val="single" w:color="auto" w:sz="4" w:space="0"/>
              <w:bottom w:val="nil"/>
              <w:right w:val="single" w:color="auto" w:sz="4" w:space="0"/>
            </w:tcBorders>
            <w:shd w:val="clear" w:color="auto" w:fill="FFFFFF"/>
            <w:vAlign w:val="center"/>
          </w:tcPr>
          <w:p w14:paraId="00F55A32">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□协同办公系统 □财务管理系统 □人力资源管理系统 □设备管理系统 □其他（请说明）</w:t>
            </w:r>
          </w:p>
        </w:tc>
      </w:tr>
      <w:tr w14:paraId="17A1F150">
        <w:tblPrEx>
          <w:tblCellMar>
            <w:top w:w="0" w:type="dxa"/>
            <w:left w:w="10" w:type="dxa"/>
            <w:bottom w:w="0" w:type="dxa"/>
            <w:right w:w="10" w:type="dxa"/>
          </w:tblCellMar>
        </w:tblPrEx>
        <w:trPr>
          <w:trHeight w:val="2407" w:hRule="exact"/>
          <w:jc w:val="center"/>
        </w:trPr>
        <w:tc>
          <w:tcPr>
            <w:tcW w:w="2267" w:type="dxa"/>
            <w:vMerge w:val="continue"/>
            <w:tcBorders>
              <w:top w:val="single" w:color="auto" w:sz="4" w:space="0"/>
              <w:left w:val="single" w:color="auto" w:sz="4" w:space="0"/>
              <w:bottom w:val="nil"/>
              <w:right w:val="single" w:color="auto" w:sz="4" w:space="0"/>
            </w:tcBorders>
            <w:shd w:val="clear" w:color="auto" w:fill="FFFFFF"/>
            <w:vAlign w:val="center"/>
          </w:tcPr>
          <w:p w14:paraId="35685FE1">
            <w:pPr>
              <w:rPr>
                <w:rFonts w:ascii="等线" w:hAnsi="等线" w:eastAsia="等线" w:cs="等线"/>
                <w:color w:val="auto"/>
                <w:sz w:val="24"/>
                <w:szCs w:val="24"/>
                <w:highlight w:val="none"/>
              </w:rPr>
            </w:pPr>
          </w:p>
        </w:tc>
        <w:tc>
          <w:tcPr>
            <w:tcW w:w="1276" w:type="dxa"/>
            <w:tcBorders>
              <w:top w:val="single" w:color="auto" w:sz="4" w:space="0"/>
              <w:left w:val="single" w:color="auto" w:sz="4" w:space="0"/>
              <w:bottom w:val="nil"/>
              <w:right w:val="single" w:color="auto" w:sz="4" w:space="0"/>
            </w:tcBorders>
            <w:shd w:val="clear" w:color="auto" w:fill="FFFFFF"/>
            <w:vAlign w:val="center"/>
          </w:tcPr>
          <w:p w14:paraId="753EFD7A">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业务上云</w:t>
            </w:r>
          </w:p>
        </w:tc>
        <w:tc>
          <w:tcPr>
            <w:tcW w:w="4975" w:type="dxa"/>
            <w:gridSpan w:val="2"/>
            <w:tcBorders>
              <w:top w:val="single" w:color="auto" w:sz="4" w:space="0"/>
              <w:left w:val="single" w:color="auto" w:sz="4" w:space="0"/>
              <w:bottom w:val="nil"/>
              <w:right w:val="single" w:color="auto" w:sz="4" w:space="0"/>
            </w:tcBorders>
            <w:shd w:val="clear" w:color="auto" w:fill="FFFFFF"/>
            <w:vAlign w:val="center"/>
          </w:tcPr>
          <w:p w14:paraId="758701AE">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□研发设计系统 □生产制造系统 □供应链系统 □营销系统 □数据分析 □仓储物流 □采购供应 □营销管理 □产品服务 □业务协同 □数据/系统集成</w:t>
            </w:r>
          </w:p>
        </w:tc>
      </w:tr>
      <w:tr w14:paraId="2E1E812B">
        <w:tblPrEx>
          <w:tblCellMar>
            <w:top w:w="0" w:type="dxa"/>
            <w:left w:w="10" w:type="dxa"/>
            <w:bottom w:w="0" w:type="dxa"/>
            <w:right w:w="10" w:type="dxa"/>
          </w:tblCellMar>
        </w:tblPrEx>
        <w:trPr>
          <w:trHeight w:val="2407" w:hRule="exact"/>
          <w:jc w:val="center"/>
        </w:trPr>
        <w:tc>
          <w:tcPr>
            <w:tcW w:w="2267" w:type="dxa"/>
            <w:tcBorders>
              <w:top w:val="nil"/>
              <w:left w:val="single" w:color="auto" w:sz="4" w:space="0"/>
              <w:bottom w:val="single" w:color="auto" w:sz="4" w:space="0"/>
              <w:right w:val="single" w:color="auto" w:sz="4" w:space="0"/>
            </w:tcBorders>
            <w:shd w:val="clear" w:color="auto" w:fill="FFFFFF"/>
            <w:vAlign w:val="center"/>
          </w:tcPr>
          <w:p w14:paraId="267F5683">
            <w:pPr>
              <w:pStyle w:val="21"/>
              <w:spacing w:line="240" w:lineRule="auto"/>
              <w:ind w:firstLine="0" w:firstLineChars="0"/>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项目建设内容</w:t>
            </w:r>
          </w:p>
        </w:tc>
        <w:tc>
          <w:tcPr>
            <w:tcW w:w="6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1440BDA">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1.请简要介绍项目聚焦解决的主要问题、建设内容、实现功能、实施成效等内容，不超过1000字；</w:t>
            </w:r>
          </w:p>
          <w:p w14:paraId="1542C0EF">
            <w:pPr>
              <w:pStyle w:val="21"/>
              <w:spacing w:line="240" w:lineRule="auto"/>
              <w:ind w:firstLine="0" w:firstLineChars="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2.请对照合同的具体建设内容和部署功能模块提供相关的软件、系统等截图，以及应用历史记录等相关佐证材料。</w:t>
            </w:r>
          </w:p>
        </w:tc>
      </w:tr>
    </w:tbl>
    <w:p w14:paraId="33894E71">
      <w:pPr>
        <w:rPr>
          <w:rFonts w:ascii="等线" w:hAnsi="等线" w:eastAsia="等线" w:cs="Times New Roman"/>
          <w:color w:val="auto"/>
          <w:highlight w:val="none"/>
          <w:lang w:bidi="ar"/>
        </w:rPr>
      </w:pPr>
    </w:p>
    <w:p w14:paraId="6090EDB5">
      <w:pPr>
        <w:rPr>
          <w:rFonts w:ascii="等线" w:hAnsi="等线" w:eastAsia="等线" w:cs="Times New Roman"/>
          <w:color w:val="auto"/>
          <w:highlight w:val="none"/>
          <w:lang w:bidi="ar"/>
        </w:rPr>
      </w:pPr>
    </w:p>
    <w:p w14:paraId="5B65C24F">
      <w:pPr>
        <w:rPr>
          <w:rFonts w:ascii="等线" w:hAnsi="等线" w:eastAsia="等线" w:cs="Times New Roman"/>
          <w:color w:val="auto"/>
          <w:highlight w:val="none"/>
          <w:lang w:bidi="ar"/>
        </w:rPr>
        <w:sectPr>
          <w:footerReference r:id="rId3" w:type="default"/>
          <w:pgSz w:w="11906" w:h="16838"/>
          <w:pgMar w:top="1440" w:right="1800" w:bottom="1440" w:left="1800" w:header="851" w:footer="992" w:gutter="0"/>
          <w:cols w:space="425" w:num="1"/>
          <w:docGrid w:type="lines" w:linePitch="312" w:charSpace="0"/>
        </w:sectPr>
      </w:pPr>
    </w:p>
    <w:p w14:paraId="141945DF">
      <w:pPr>
        <w:ind w:firstLine="643"/>
        <w:rPr>
          <w:rFonts w:ascii="黑体" w:hAnsi="宋体" w:eastAsia="黑体" w:cs="黑体"/>
          <w:color w:val="auto"/>
          <w:sz w:val="32"/>
          <w:szCs w:val="36"/>
          <w:highlight w:val="none"/>
        </w:rPr>
      </w:pPr>
      <w:r>
        <w:rPr>
          <w:rFonts w:hint="eastAsia" w:ascii="黑体" w:hAnsi="宋体" w:eastAsia="黑体" w:cs="黑体"/>
          <w:color w:val="auto"/>
          <w:sz w:val="32"/>
          <w:szCs w:val="36"/>
          <w:highlight w:val="none"/>
          <w:lang w:bidi="ar"/>
          <w14:ligatures w14:val="standardContextual"/>
        </w:rPr>
        <w:t>二、中小企业数字化水平情况</w:t>
      </w:r>
    </w:p>
    <w:p w14:paraId="3FF2D28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请按照《</w:t>
      </w:r>
      <w:r>
        <w:rPr>
          <w:rFonts w:hint="eastAsia" w:ascii="仿宋_GB2312" w:hAnsi="仿宋_GB2312" w:eastAsia="仿宋_GB2312" w:cs="仿宋_GB2312"/>
          <w:sz w:val="32"/>
          <w:szCs w:val="32"/>
          <w:lang w:eastAsia="zh-CN"/>
        </w:rPr>
        <w:t>制造业</w:t>
      </w:r>
      <w:r>
        <w:rPr>
          <w:rFonts w:hint="eastAsia" w:ascii="仿宋_GB2312" w:hAnsi="仿宋_GB2312" w:eastAsia="仿宋_GB2312" w:cs="仿宋_GB2312"/>
          <w:sz w:val="32"/>
          <w:szCs w:val="32"/>
        </w:rPr>
        <w:t>中小企业数字化水平评测表（2022年版）》的具体指标，结合数字化改造项目后的企业实际数字化水平情况勾选对应选项，并对照每项评测指标提供系统截图、盖章版管理制度、生产现场设备照片等相关佐证材料，并在《</w:t>
      </w:r>
      <w:r>
        <w:rPr>
          <w:rFonts w:hint="eastAsia" w:ascii="仿宋_GB2312" w:hAnsi="仿宋_GB2312" w:eastAsia="仿宋_GB2312" w:cs="仿宋_GB2312"/>
          <w:sz w:val="32"/>
          <w:szCs w:val="32"/>
          <w:lang w:eastAsia="zh-CN"/>
        </w:rPr>
        <w:t>制造业</w:t>
      </w:r>
      <w:r>
        <w:rPr>
          <w:rFonts w:hint="eastAsia" w:ascii="仿宋_GB2312" w:hAnsi="仿宋_GB2312" w:eastAsia="仿宋_GB2312" w:cs="仿宋_GB2312"/>
          <w:sz w:val="32"/>
          <w:szCs w:val="32"/>
        </w:rPr>
        <w:t>中小企业数字化水平评测表（2022年版）》的“佐证材料索引”栏注明对应指标相关佐证材料的具体页码。</w:t>
      </w:r>
    </w:p>
    <w:p w14:paraId="32E36C3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注：如</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业和信息化</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发布了新的</w:t>
      </w:r>
      <w:r>
        <w:rPr>
          <w:rFonts w:hint="eastAsia" w:ascii="仿宋_GB2312" w:hAnsi="仿宋_GB2312" w:eastAsia="仿宋_GB2312" w:cs="仿宋_GB2312"/>
          <w:sz w:val="32"/>
          <w:szCs w:val="32"/>
        </w:rPr>
        <w:t>数字化水平评测</w:t>
      </w:r>
      <w:r>
        <w:rPr>
          <w:rFonts w:hint="eastAsia" w:ascii="仿宋_GB2312" w:hAnsi="仿宋_GB2312" w:eastAsia="仿宋_GB2312" w:cs="仿宋_GB2312"/>
          <w:sz w:val="32"/>
          <w:szCs w:val="32"/>
          <w:lang w:eastAsia="zh-CN"/>
        </w:rPr>
        <w:t>表，则按最新的评测表执行</w:t>
      </w:r>
      <w:r>
        <w:rPr>
          <w:rFonts w:hint="eastAsia" w:ascii="仿宋_GB2312" w:hAnsi="仿宋_GB2312" w:eastAsia="仿宋_GB2312" w:cs="仿宋_GB2312"/>
          <w:sz w:val="32"/>
          <w:szCs w:val="32"/>
        </w:rPr>
        <w:t>。</w:t>
      </w:r>
    </w:p>
    <w:p w14:paraId="083242D9">
      <w:pPr>
        <w:ind w:firstLine="643"/>
        <w:rPr>
          <w:rFonts w:ascii="仿宋_GB2312" w:hAnsi="宋体" w:eastAsia="仿宋_GB2312" w:cs="仿宋_GB2312"/>
          <w:color w:val="auto"/>
          <w:sz w:val="32"/>
          <w:szCs w:val="36"/>
          <w:highlight w:val="none"/>
          <w:lang w:bidi="ar"/>
        </w:rPr>
      </w:pPr>
    </w:p>
    <w:p w14:paraId="4A819BD2">
      <w:pPr>
        <w:jc w:val="center"/>
        <w:rPr>
          <w:rFonts w:hint="eastAsia" w:ascii="仿宋_GB2312" w:hAnsi="宋体" w:eastAsia="仿宋_GB2312" w:cs="仿宋_GB2312"/>
          <w:b/>
          <w:bCs/>
          <w:color w:val="auto"/>
          <w:sz w:val="32"/>
          <w:szCs w:val="36"/>
          <w:highlight w:val="none"/>
          <w:lang w:eastAsia="zh-CN"/>
        </w:rPr>
      </w:pPr>
      <w:r>
        <w:rPr>
          <w:rFonts w:hint="eastAsia" w:ascii="仿宋_GB2312" w:hAnsi="宋体" w:eastAsia="仿宋_GB2312" w:cs="仿宋_GB2312"/>
          <w:b/>
          <w:bCs/>
          <w:color w:val="auto"/>
          <w:sz w:val="32"/>
          <w:szCs w:val="36"/>
          <w:highlight w:val="none"/>
          <w:lang w:eastAsia="zh-CN" w:bidi="ar"/>
          <w14:ligatures w14:val="standardContextual"/>
        </w:rPr>
        <w:t>制造业</w:t>
      </w:r>
      <w:r>
        <w:rPr>
          <w:rFonts w:hint="eastAsia" w:ascii="仿宋_GB2312" w:hAnsi="宋体" w:eastAsia="仿宋_GB2312" w:cs="仿宋_GB2312"/>
          <w:b/>
          <w:bCs/>
          <w:color w:val="auto"/>
          <w:sz w:val="32"/>
          <w:szCs w:val="36"/>
          <w:highlight w:val="none"/>
          <w:lang w:bidi="ar"/>
          <w14:ligatures w14:val="standardContextual"/>
        </w:rPr>
        <w:t>中小企业数字化水平评测表</w:t>
      </w:r>
      <w:r>
        <w:rPr>
          <w:rFonts w:hint="eastAsia" w:ascii="仿宋_GB2312" w:hAnsi="宋体" w:eastAsia="仿宋_GB2312" w:cs="仿宋_GB2312"/>
          <w:b/>
          <w:bCs/>
          <w:color w:val="auto"/>
          <w:sz w:val="32"/>
          <w:szCs w:val="36"/>
          <w:highlight w:val="none"/>
          <w:lang w:eastAsia="zh-CN" w:bidi="ar"/>
          <w14:ligatures w14:val="standardContextual"/>
        </w:rPr>
        <w:t>（</w:t>
      </w:r>
      <w:r>
        <w:rPr>
          <w:rFonts w:hint="eastAsia" w:ascii="仿宋_GB2312" w:hAnsi="宋体" w:eastAsia="仿宋_GB2312" w:cs="仿宋_GB2312"/>
          <w:b/>
          <w:bCs/>
          <w:color w:val="auto"/>
          <w:sz w:val="32"/>
          <w:szCs w:val="36"/>
          <w:highlight w:val="none"/>
          <w:lang w:bidi="ar"/>
          <w14:ligatures w14:val="standardContextual"/>
        </w:rPr>
        <w:t>2022年版</w:t>
      </w:r>
      <w:r>
        <w:rPr>
          <w:rFonts w:hint="eastAsia" w:ascii="仿宋_GB2312" w:hAnsi="宋体" w:eastAsia="仿宋_GB2312" w:cs="仿宋_GB2312"/>
          <w:b/>
          <w:bCs/>
          <w:color w:val="auto"/>
          <w:sz w:val="32"/>
          <w:szCs w:val="36"/>
          <w:highlight w:val="none"/>
          <w:lang w:eastAsia="zh-CN" w:bidi="ar"/>
          <w14:ligatures w14:val="standardContextual"/>
        </w:rPr>
        <w:t>）</w:t>
      </w:r>
    </w:p>
    <w:tbl>
      <w:tblPr>
        <w:tblStyle w:val="9"/>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5"/>
        <w:gridCol w:w="796"/>
        <w:gridCol w:w="4536"/>
        <w:gridCol w:w="1984"/>
      </w:tblGrid>
      <w:tr w14:paraId="6DCE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5" w:type="dxa"/>
            <w:vAlign w:val="center"/>
          </w:tcPr>
          <w:p w14:paraId="4F6DD0AD">
            <w:pPr>
              <w:snapToGrid w:val="0"/>
              <w:spacing w:line="240" w:lineRule="atLeast"/>
              <w:contextualSpacing/>
              <w:jc w:val="center"/>
              <w:rPr>
                <w:rFonts w:ascii="仿宋_GB2312" w:hAnsi="仿宋_GB2312" w:eastAsia="仿宋_GB2312" w:cs="仿宋_GB2312"/>
                <w:b/>
                <w:color w:val="auto"/>
                <w:kern w:val="0"/>
                <w:sz w:val="24"/>
                <w:szCs w:val="20"/>
                <w:highlight w:val="none"/>
              </w:rPr>
            </w:pPr>
            <w:r>
              <w:rPr>
                <w:rFonts w:ascii="仿宋_GB2312" w:hAnsi="仿宋_GB2312" w:eastAsia="仿宋_GB2312" w:cs="仿宋_GB2312"/>
                <w:b/>
                <w:color w:val="auto"/>
                <w:kern w:val="0"/>
                <w:sz w:val="24"/>
                <w:szCs w:val="20"/>
                <w:highlight w:val="none"/>
              </w:rPr>
              <w:t>一级指标</w:t>
            </w:r>
          </w:p>
        </w:tc>
        <w:tc>
          <w:tcPr>
            <w:tcW w:w="1135" w:type="dxa"/>
            <w:vAlign w:val="center"/>
          </w:tcPr>
          <w:p w14:paraId="4C3E79EE">
            <w:pPr>
              <w:snapToGrid w:val="0"/>
              <w:spacing w:line="240" w:lineRule="atLeast"/>
              <w:contextualSpacing/>
              <w:jc w:val="center"/>
              <w:rPr>
                <w:rFonts w:ascii="仿宋_GB2312" w:hAnsi="仿宋_GB2312" w:eastAsia="仿宋_GB2312" w:cs="仿宋_GB2312"/>
                <w:b/>
                <w:color w:val="auto"/>
                <w:kern w:val="0"/>
                <w:sz w:val="24"/>
                <w:szCs w:val="20"/>
                <w:highlight w:val="none"/>
              </w:rPr>
            </w:pPr>
            <w:r>
              <w:rPr>
                <w:rFonts w:ascii="仿宋_GB2312" w:hAnsi="仿宋_GB2312" w:eastAsia="仿宋_GB2312" w:cs="仿宋_GB2312"/>
                <w:b/>
                <w:color w:val="auto"/>
                <w:kern w:val="0"/>
                <w:sz w:val="24"/>
                <w:szCs w:val="20"/>
                <w:highlight w:val="none"/>
              </w:rPr>
              <w:t>二级指标</w:t>
            </w:r>
          </w:p>
        </w:tc>
        <w:tc>
          <w:tcPr>
            <w:tcW w:w="796" w:type="dxa"/>
            <w:vAlign w:val="center"/>
          </w:tcPr>
          <w:p w14:paraId="44AF61D0">
            <w:pPr>
              <w:snapToGrid w:val="0"/>
              <w:spacing w:line="240" w:lineRule="atLeast"/>
              <w:contextualSpacing/>
              <w:jc w:val="center"/>
              <w:rPr>
                <w:rFonts w:ascii="仿宋_GB2312" w:hAnsi="仿宋_GB2312" w:eastAsia="仿宋_GB2312" w:cs="仿宋_GB2312"/>
                <w:b/>
                <w:color w:val="auto"/>
                <w:kern w:val="0"/>
                <w:sz w:val="24"/>
                <w:szCs w:val="20"/>
                <w:highlight w:val="none"/>
              </w:rPr>
            </w:pPr>
            <w:r>
              <w:rPr>
                <w:rFonts w:ascii="仿宋_GB2312" w:hAnsi="仿宋_GB2312" w:eastAsia="仿宋_GB2312" w:cs="仿宋_GB2312"/>
                <w:b/>
                <w:color w:val="auto"/>
                <w:kern w:val="0"/>
                <w:sz w:val="24"/>
                <w:szCs w:val="20"/>
                <w:highlight w:val="none"/>
              </w:rPr>
              <w:t>序号</w:t>
            </w:r>
          </w:p>
        </w:tc>
        <w:tc>
          <w:tcPr>
            <w:tcW w:w="4536" w:type="dxa"/>
            <w:vAlign w:val="center"/>
          </w:tcPr>
          <w:p w14:paraId="10676E2F">
            <w:pPr>
              <w:snapToGrid w:val="0"/>
              <w:spacing w:line="240" w:lineRule="atLeast"/>
              <w:contextualSpacing/>
              <w:jc w:val="center"/>
              <w:rPr>
                <w:rFonts w:ascii="仿宋_GB2312" w:hAnsi="仿宋_GB2312" w:eastAsia="仿宋_GB2312" w:cs="仿宋_GB2312"/>
                <w:b/>
                <w:color w:val="auto"/>
                <w:kern w:val="0"/>
                <w:sz w:val="24"/>
                <w:szCs w:val="20"/>
                <w:highlight w:val="none"/>
              </w:rPr>
            </w:pPr>
            <w:r>
              <w:rPr>
                <w:rFonts w:ascii="仿宋_GB2312" w:hAnsi="仿宋_GB2312" w:eastAsia="仿宋_GB2312" w:cs="仿宋_GB2312"/>
                <w:b/>
                <w:color w:val="auto"/>
                <w:kern w:val="0"/>
                <w:sz w:val="24"/>
                <w:szCs w:val="20"/>
                <w:highlight w:val="none"/>
              </w:rPr>
              <w:t>问卷</w:t>
            </w:r>
          </w:p>
        </w:tc>
        <w:tc>
          <w:tcPr>
            <w:tcW w:w="1984" w:type="dxa"/>
            <w:vAlign w:val="center"/>
          </w:tcPr>
          <w:p w14:paraId="5A135513">
            <w:pPr>
              <w:snapToGrid w:val="0"/>
              <w:spacing w:line="240" w:lineRule="atLeast"/>
              <w:contextualSpacing/>
              <w:jc w:val="center"/>
              <w:rPr>
                <w:rFonts w:ascii="仿宋_GB2312" w:hAnsi="仿宋_GB2312" w:eastAsia="仿宋_GB2312" w:cs="仿宋_GB2312"/>
                <w:b/>
                <w:color w:val="auto"/>
                <w:kern w:val="0"/>
                <w:sz w:val="24"/>
                <w:szCs w:val="20"/>
                <w:highlight w:val="none"/>
              </w:rPr>
            </w:pPr>
            <w:r>
              <w:rPr>
                <w:rFonts w:hint="eastAsia" w:ascii="仿宋_GB2312" w:hAnsi="仿宋_GB2312" w:eastAsia="仿宋_GB2312" w:cs="仿宋_GB2312"/>
                <w:b/>
                <w:color w:val="auto"/>
                <w:kern w:val="0"/>
                <w:sz w:val="24"/>
                <w:szCs w:val="20"/>
                <w:highlight w:val="none"/>
              </w:rPr>
              <w:t>佐证材料索引</w:t>
            </w:r>
          </w:p>
        </w:tc>
      </w:tr>
      <w:tr w14:paraId="54DE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2C8A2679">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一、</w:t>
            </w:r>
          </w:p>
          <w:p w14:paraId="78CA067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数字化基础</w:t>
            </w:r>
          </w:p>
          <w:p w14:paraId="49239AD6">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（25%）</w:t>
            </w:r>
          </w:p>
          <w:p w14:paraId="21A2A315">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restart"/>
            <w:vAlign w:val="center"/>
          </w:tcPr>
          <w:p w14:paraId="048C666C">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设备</w:t>
            </w:r>
          </w:p>
          <w:p w14:paraId="7A504C7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系统</w:t>
            </w:r>
          </w:p>
          <w:p w14:paraId="142C5CE8">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（40%）</w:t>
            </w:r>
          </w:p>
        </w:tc>
        <w:tc>
          <w:tcPr>
            <w:tcW w:w="796" w:type="dxa"/>
            <w:tcBorders>
              <w:top w:val="nil"/>
              <w:left w:val="single" w:color="auto" w:sz="4" w:space="0"/>
              <w:bottom w:val="single" w:color="auto" w:sz="4" w:space="0"/>
              <w:right w:val="single" w:color="auto" w:sz="4" w:space="0"/>
            </w:tcBorders>
            <w:shd w:val="clear" w:color="auto" w:fill="auto"/>
            <w:vAlign w:val="center"/>
          </w:tcPr>
          <w:p w14:paraId="3DBAC2E4">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w:t>
            </w:r>
          </w:p>
          <w:p w14:paraId="5E20675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（20%）</w:t>
            </w:r>
          </w:p>
        </w:tc>
        <w:tc>
          <w:tcPr>
            <w:tcW w:w="4536" w:type="dxa"/>
            <w:vAlign w:val="center"/>
          </w:tcPr>
          <w:p w14:paraId="393866B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企业的数字化设备覆盖范围</w:t>
            </w:r>
            <w:r>
              <w:rPr>
                <w:rFonts w:hint="eastAsia" w:ascii="仿宋_GB2312" w:hAnsi="仿宋_GB2312" w:eastAsia="仿宋_GB2312" w:cs="仿宋_GB2312"/>
                <w:color w:val="auto"/>
                <w:kern w:val="0"/>
                <w:sz w:val="24"/>
                <w:szCs w:val="20"/>
                <w:highlight w:val="none"/>
              </w:rPr>
              <w:t>（单选）</w:t>
            </w:r>
          </w:p>
          <w:p w14:paraId="3DAAB1A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□单个业务环节 </w:t>
            </w:r>
          </w:p>
          <w:p w14:paraId="4226BD4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□关键业务环节</w:t>
            </w:r>
          </w:p>
          <w:p w14:paraId="41871645">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□绝大部分业务环节 </w:t>
            </w:r>
          </w:p>
          <w:p w14:paraId="32AF3FD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□全覆盖</w:t>
            </w:r>
          </w:p>
          <w:p w14:paraId="121BD1C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3C575E96">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0355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94CF9D6">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continue"/>
            <w:vAlign w:val="center"/>
          </w:tcPr>
          <w:p w14:paraId="3FC40799">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796" w:type="dxa"/>
            <w:tcBorders>
              <w:top w:val="nil"/>
              <w:left w:val="single" w:color="auto" w:sz="4" w:space="0"/>
              <w:bottom w:val="single" w:color="auto" w:sz="4" w:space="0"/>
              <w:right w:val="single" w:color="auto" w:sz="4" w:space="0"/>
            </w:tcBorders>
            <w:shd w:val="clear" w:color="auto" w:fill="auto"/>
            <w:vAlign w:val="center"/>
          </w:tcPr>
          <w:p w14:paraId="410EE34C">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2</w:t>
            </w:r>
          </w:p>
          <w:p w14:paraId="33E238C9">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（30%）</w:t>
            </w:r>
          </w:p>
        </w:tc>
        <w:tc>
          <w:tcPr>
            <w:tcW w:w="4536" w:type="dxa"/>
            <w:vAlign w:val="center"/>
          </w:tcPr>
          <w:p w14:paraId="6E0C0BC2">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企业的数字化设备联网率</w:t>
            </w:r>
            <w:r>
              <w:rPr>
                <w:rFonts w:hint="eastAsia" w:ascii="仿宋_GB2312" w:hAnsi="仿宋_GB2312" w:eastAsia="仿宋_GB2312" w:cs="仿宋_GB2312"/>
                <w:color w:val="auto"/>
                <w:kern w:val="0"/>
                <w:sz w:val="24"/>
                <w:szCs w:val="20"/>
                <w:highlight w:val="none"/>
              </w:rPr>
              <w:t>（单选）</w:t>
            </w:r>
          </w:p>
          <w:p w14:paraId="6BBBEB29">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□[0-10%] </w:t>
            </w:r>
          </w:p>
          <w:p w14:paraId="7FA5CFE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□(10%,20%] </w:t>
            </w:r>
          </w:p>
          <w:p w14:paraId="02139BF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□(20%,30%]</w:t>
            </w:r>
          </w:p>
          <w:p w14:paraId="5E4EA06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□(30%,40%] </w:t>
            </w:r>
          </w:p>
          <w:p w14:paraId="574B3A1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□40%以上</w:t>
            </w:r>
          </w:p>
        </w:tc>
        <w:tc>
          <w:tcPr>
            <w:tcW w:w="1984" w:type="dxa"/>
            <w:shd w:val="clear" w:color="auto" w:fill="auto"/>
            <w:vAlign w:val="center"/>
          </w:tcPr>
          <w:p w14:paraId="3162A8AE">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68BD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75ADC40">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continue"/>
            <w:vAlign w:val="center"/>
          </w:tcPr>
          <w:p w14:paraId="5463B003">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796" w:type="dxa"/>
            <w:tcBorders>
              <w:top w:val="nil"/>
              <w:left w:val="single" w:color="auto" w:sz="4" w:space="0"/>
              <w:bottom w:val="single" w:color="auto" w:sz="4" w:space="0"/>
              <w:right w:val="single" w:color="auto" w:sz="4" w:space="0"/>
            </w:tcBorders>
            <w:shd w:val="clear" w:color="auto" w:fill="auto"/>
            <w:vAlign w:val="center"/>
          </w:tcPr>
          <w:p w14:paraId="19AC164F">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3</w:t>
            </w:r>
          </w:p>
          <w:p w14:paraId="2816EC4B">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（30%）</w:t>
            </w:r>
          </w:p>
        </w:tc>
        <w:tc>
          <w:tcPr>
            <w:tcW w:w="4536" w:type="dxa"/>
            <w:vAlign w:val="center"/>
          </w:tcPr>
          <w:p w14:paraId="057C2FB5">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企业的关键工序数控化率</w:t>
            </w:r>
            <w:r>
              <w:rPr>
                <w:rFonts w:hint="eastAsia" w:ascii="仿宋_GB2312" w:hAnsi="仿宋_GB2312" w:eastAsia="仿宋_GB2312" w:cs="仿宋_GB2312"/>
                <w:color w:val="auto"/>
                <w:kern w:val="0"/>
                <w:sz w:val="24"/>
                <w:szCs w:val="20"/>
                <w:highlight w:val="none"/>
              </w:rPr>
              <w:t>（单选）</w:t>
            </w:r>
          </w:p>
          <w:p w14:paraId="35828F5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□[0-30%] </w:t>
            </w:r>
          </w:p>
          <w:p w14:paraId="3E8A1CB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□(30%,45%]</w:t>
            </w:r>
          </w:p>
          <w:p w14:paraId="2CF3CF0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□(45%,60%] </w:t>
            </w:r>
          </w:p>
          <w:p w14:paraId="33A6AC0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□60%以上</w:t>
            </w:r>
          </w:p>
        </w:tc>
        <w:tc>
          <w:tcPr>
            <w:tcW w:w="1984" w:type="dxa"/>
            <w:shd w:val="clear" w:color="auto" w:fill="auto"/>
            <w:vAlign w:val="center"/>
          </w:tcPr>
          <w:p w14:paraId="28478549">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5C6D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014342F">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continue"/>
            <w:vAlign w:val="center"/>
          </w:tcPr>
          <w:p w14:paraId="6BC4BBFC">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796" w:type="dxa"/>
            <w:tcBorders>
              <w:top w:val="nil"/>
              <w:left w:val="single" w:color="auto" w:sz="4" w:space="0"/>
              <w:bottom w:val="single" w:color="auto" w:sz="4" w:space="0"/>
              <w:right w:val="single" w:color="auto" w:sz="4" w:space="0"/>
            </w:tcBorders>
            <w:shd w:val="clear" w:color="auto" w:fill="auto"/>
            <w:vAlign w:val="center"/>
          </w:tcPr>
          <w:p w14:paraId="36573E4B">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4</w:t>
            </w:r>
          </w:p>
          <w:p w14:paraId="6744CB4B">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（20%）</w:t>
            </w:r>
          </w:p>
        </w:tc>
        <w:tc>
          <w:tcPr>
            <w:tcW w:w="4536" w:type="dxa"/>
            <w:vAlign w:val="center"/>
          </w:tcPr>
          <w:p w14:paraId="49CB256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企业通过部署工业互联网公有云/私有云/混合云平台等形式，实现业务的数字化管理情况</w:t>
            </w:r>
            <w:r>
              <w:rPr>
                <w:rFonts w:hint="eastAsia" w:ascii="仿宋_GB2312" w:hAnsi="仿宋_GB2312" w:eastAsia="仿宋_GB2312" w:cs="仿宋_GB2312"/>
                <w:color w:val="auto"/>
                <w:kern w:val="0"/>
                <w:sz w:val="24"/>
                <w:szCs w:val="20"/>
                <w:highlight w:val="none"/>
              </w:rPr>
              <w:t>（单选）</w:t>
            </w:r>
          </w:p>
          <w:p w14:paraId="4431D37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□单个业务环节</w:t>
            </w:r>
          </w:p>
          <w:p w14:paraId="327CB744">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□关键业务环节 </w:t>
            </w:r>
          </w:p>
          <w:p w14:paraId="748D83E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□绝大部分业务环节 </w:t>
            </w:r>
          </w:p>
          <w:p w14:paraId="47F232A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□全覆盖</w:t>
            </w:r>
          </w:p>
          <w:p w14:paraId="2C0D739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0DDDA083">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0A25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AA7F27F">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restart"/>
            <w:vAlign w:val="center"/>
          </w:tcPr>
          <w:p w14:paraId="0BD08C38">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数据</w:t>
            </w:r>
          </w:p>
          <w:p w14:paraId="04B1D1FD">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资源</w:t>
            </w:r>
          </w:p>
          <w:p w14:paraId="29AE6BA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（30%）</w:t>
            </w:r>
          </w:p>
        </w:tc>
        <w:tc>
          <w:tcPr>
            <w:tcW w:w="796" w:type="dxa"/>
            <w:tcBorders>
              <w:top w:val="nil"/>
              <w:left w:val="single" w:color="auto" w:sz="4" w:space="0"/>
              <w:bottom w:val="single" w:color="auto" w:sz="4" w:space="0"/>
              <w:right w:val="single" w:color="auto" w:sz="4" w:space="0"/>
            </w:tcBorders>
            <w:shd w:val="clear" w:color="auto" w:fill="auto"/>
            <w:vAlign w:val="center"/>
          </w:tcPr>
          <w:p w14:paraId="1D3B074C">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5</w:t>
            </w:r>
          </w:p>
          <w:p w14:paraId="5D6F97E3">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（60%）</w:t>
            </w:r>
          </w:p>
        </w:tc>
        <w:tc>
          <w:tcPr>
            <w:tcW w:w="4536" w:type="dxa"/>
            <w:vAlign w:val="center"/>
          </w:tcPr>
          <w:p w14:paraId="5ABEEB4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企业实现数据自动/半自动获取并展示的业务环节覆盖范围</w:t>
            </w:r>
            <w:r>
              <w:rPr>
                <w:rFonts w:hint="eastAsia" w:ascii="仿宋_GB2312" w:hAnsi="仿宋_GB2312" w:eastAsia="仿宋_GB2312" w:cs="仿宋_GB2312"/>
                <w:color w:val="auto"/>
                <w:kern w:val="0"/>
                <w:sz w:val="24"/>
                <w:szCs w:val="20"/>
                <w:highlight w:val="none"/>
              </w:rPr>
              <w:t>（多选）</w:t>
            </w:r>
          </w:p>
          <w:p w14:paraId="5A9BAA7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□研发设计</w:t>
            </w:r>
            <w:r>
              <w:rPr>
                <w:rFonts w:hint="eastAsia" w:ascii="仿宋_GB2312" w:hAnsi="仿宋_GB2312" w:eastAsia="仿宋_GB2312" w:cs="仿宋_GB2312"/>
                <w:color w:val="auto"/>
                <w:kern w:val="0"/>
                <w:sz w:val="24"/>
                <w:szCs w:val="20"/>
                <w:highlight w:val="none"/>
              </w:rPr>
              <w:t xml:space="preserve"> </w:t>
            </w:r>
            <w:r>
              <w:rPr>
                <w:rFonts w:ascii="仿宋_GB2312" w:hAnsi="仿宋_GB2312" w:eastAsia="仿宋_GB2312" w:cs="仿宋_GB2312"/>
                <w:color w:val="auto"/>
                <w:kern w:val="0"/>
                <w:sz w:val="24"/>
                <w:szCs w:val="20"/>
                <w:highlight w:val="none"/>
              </w:rPr>
              <w:t>□生产管控</w:t>
            </w:r>
            <w:r>
              <w:rPr>
                <w:rFonts w:hint="eastAsia" w:ascii="仿宋_GB2312" w:hAnsi="仿宋_GB2312" w:eastAsia="仿宋_GB2312" w:cs="仿宋_GB2312"/>
                <w:color w:val="auto"/>
                <w:kern w:val="0"/>
                <w:sz w:val="24"/>
                <w:szCs w:val="20"/>
                <w:highlight w:val="none"/>
              </w:rPr>
              <w:t xml:space="preserve"> </w:t>
            </w:r>
            <w:r>
              <w:rPr>
                <w:rFonts w:ascii="仿宋_GB2312" w:hAnsi="仿宋_GB2312" w:eastAsia="仿宋_GB2312" w:cs="仿宋_GB2312"/>
                <w:color w:val="auto"/>
                <w:kern w:val="0"/>
                <w:sz w:val="24"/>
                <w:szCs w:val="20"/>
                <w:highlight w:val="none"/>
              </w:rPr>
              <w:t>□质量控制 □仓储配送（厂内） □设备管理 □采购 □销售 □物流（厂外） □财务 □人力 □以上均无</w:t>
            </w:r>
          </w:p>
        </w:tc>
        <w:tc>
          <w:tcPr>
            <w:tcW w:w="1984" w:type="dxa"/>
            <w:shd w:val="clear" w:color="auto" w:fill="auto"/>
            <w:vAlign w:val="center"/>
          </w:tcPr>
          <w:p w14:paraId="4487A68E">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724C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247B167">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continue"/>
            <w:vAlign w:val="center"/>
          </w:tcPr>
          <w:p w14:paraId="7AE4D802">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796" w:type="dxa"/>
            <w:tcBorders>
              <w:top w:val="nil"/>
              <w:left w:val="single" w:color="auto" w:sz="4" w:space="0"/>
              <w:bottom w:val="single" w:color="auto" w:sz="4" w:space="0"/>
              <w:right w:val="single" w:color="auto" w:sz="4" w:space="0"/>
            </w:tcBorders>
            <w:shd w:val="clear" w:color="auto" w:fill="auto"/>
            <w:vAlign w:val="center"/>
          </w:tcPr>
          <w:p w14:paraId="37DCF693">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6</w:t>
            </w:r>
          </w:p>
          <w:p w14:paraId="0A3378F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（40%）</w:t>
            </w:r>
          </w:p>
        </w:tc>
        <w:tc>
          <w:tcPr>
            <w:tcW w:w="4536" w:type="dxa"/>
            <w:vAlign w:val="center"/>
          </w:tcPr>
          <w:p w14:paraId="1CB6711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企业实现各类数据汇聚及应用的情况</w:t>
            </w:r>
            <w:r>
              <w:rPr>
                <w:rFonts w:hint="eastAsia" w:ascii="仿宋_GB2312" w:hAnsi="仿宋_GB2312" w:eastAsia="仿宋_GB2312" w:cs="仿宋_GB2312"/>
                <w:color w:val="auto"/>
                <w:kern w:val="0"/>
                <w:sz w:val="24"/>
                <w:szCs w:val="20"/>
                <w:highlight w:val="none"/>
              </w:rPr>
              <w:t>（多选）</w:t>
            </w:r>
          </w:p>
          <w:p w14:paraId="1BC6AC9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□建立了统一的数据编码、数据交换格式和规则等</w:t>
            </w:r>
          </w:p>
          <w:p w14:paraId="6A2D05C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□实现了数据及分析结果的跨部门共享</w:t>
            </w:r>
          </w:p>
          <w:p w14:paraId="17FBA80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□构建了数据算法模型，支撑业务人员进行数据分析</w:t>
            </w:r>
          </w:p>
          <w:p w14:paraId="106A24A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□构建了可视化数据分析工具</w:t>
            </w:r>
          </w:p>
          <w:p w14:paraId="5993045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7C26B778">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3A98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AE7A38D">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Align w:val="center"/>
          </w:tcPr>
          <w:p w14:paraId="2C2A29E7">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网络</w:t>
            </w:r>
          </w:p>
          <w:p w14:paraId="0A84CA54">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安全</w:t>
            </w:r>
          </w:p>
          <w:p w14:paraId="4B1CD803">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（30%）</w:t>
            </w:r>
          </w:p>
        </w:tc>
        <w:tc>
          <w:tcPr>
            <w:tcW w:w="796" w:type="dxa"/>
            <w:tcBorders>
              <w:top w:val="nil"/>
              <w:left w:val="single" w:color="auto" w:sz="4" w:space="0"/>
              <w:bottom w:val="single" w:color="auto" w:sz="4" w:space="0"/>
              <w:right w:val="single" w:color="auto" w:sz="4" w:space="0"/>
            </w:tcBorders>
            <w:shd w:val="clear" w:color="auto" w:fill="auto"/>
            <w:vAlign w:val="center"/>
          </w:tcPr>
          <w:p w14:paraId="03F997A7">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7</w:t>
            </w:r>
          </w:p>
        </w:tc>
        <w:tc>
          <w:tcPr>
            <w:tcW w:w="4536" w:type="dxa"/>
            <w:vAlign w:val="center"/>
          </w:tcPr>
          <w:p w14:paraId="50CC5B5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企业在保障网络安全方面采取的举措情况</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单选</w:t>
            </w:r>
            <w:r>
              <w:rPr>
                <w:rFonts w:hint="eastAsia" w:ascii="仿宋_GB2312" w:hAnsi="仿宋_GB2312" w:eastAsia="仿宋_GB2312" w:cs="仿宋_GB2312"/>
                <w:color w:val="auto"/>
                <w:kern w:val="0"/>
                <w:sz w:val="24"/>
                <w:szCs w:val="20"/>
                <w:highlight w:val="none"/>
              </w:rPr>
              <w:t>）</w:t>
            </w:r>
          </w:p>
          <w:p w14:paraId="72F1588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□使用了工业级网络安全产品及服务，尚未建立网络安全保障制度</w:t>
            </w:r>
          </w:p>
          <w:p w14:paraId="43A6560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□建立了网络安全保障制度，尚未开展网络安全等级自评估</w:t>
            </w:r>
          </w:p>
          <w:p w14:paraId="0012F87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□开展了网络安全等级自评估，尚未通过第三方机构的验收认定</w:t>
            </w:r>
          </w:p>
          <w:p w14:paraId="5669A755">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□网络安全等级评估通过了第三方机构的验收认定</w:t>
            </w:r>
          </w:p>
          <w:p w14:paraId="0F4BAA6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61F63CE9">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2B38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5306C923">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二、</w:t>
            </w:r>
          </w:p>
          <w:p w14:paraId="7B4B220A">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数字化经营</w:t>
            </w:r>
          </w:p>
          <w:p w14:paraId="53ACC3C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（45%）</w:t>
            </w:r>
          </w:p>
        </w:tc>
        <w:tc>
          <w:tcPr>
            <w:tcW w:w="1135" w:type="dxa"/>
            <w:vAlign w:val="center"/>
          </w:tcPr>
          <w:p w14:paraId="1F9F890B">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研发</w:t>
            </w:r>
          </w:p>
          <w:p w14:paraId="292DAB68">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设计</w:t>
            </w:r>
          </w:p>
          <w:p w14:paraId="3170048D">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（14%）</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3F25EBA">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8</w:t>
            </w:r>
          </w:p>
        </w:tc>
        <w:tc>
          <w:tcPr>
            <w:tcW w:w="4536" w:type="dxa"/>
            <w:shd w:val="clear" w:color="auto" w:fill="auto"/>
            <w:vAlign w:val="center"/>
          </w:tcPr>
          <w:p w14:paraId="00E20AC2">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研发设计环节，企业开展数字化研发设计的情况</w:t>
            </w:r>
            <w:r>
              <w:rPr>
                <w:rFonts w:hint="eastAsia" w:ascii="仿宋_GB2312" w:hAnsi="仿宋_GB2312" w:eastAsia="仿宋_GB2312" w:cs="仿宋_GB2312"/>
                <w:color w:val="auto"/>
                <w:kern w:val="0"/>
                <w:sz w:val="24"/>
                <w:szCs w:val="20"/>
                <w:highlight w:val="none"/>
              </w:rPr>
              <w:t>（多选）</w:t>
            </w:r>
          </w:p>
          <w:p w14:paraId="1CB4DA1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（50%以上关键业务研发设计项目实现下列数字化场景即可勾选该项）</w:t>
            </w:r>
          </w:p>
          <w:p w14:paraId="186D63D4">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□应用二维、三维计算机设计软件辅助开展设计工作</w:t>
            </w:r>
          </w:p>
          <w:p w14:paraId="37F95BB9">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□使用PDM或PLM等软件实现文档、数据、流程等的共享和统一管理</w:t>
            </w:r>
          </w:p>
          <w:p w14:paraId="71EF365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□建设和应用产品设计标准库、组件库或知识库</w:t>
            </w:r>
          </w:p>
          <w:p w14:paraId="64AA090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□将产品设计信息集成于产品的数字化模型中，实现产品设计数据的唯一性</w:t>
            </w:r>
          </w:p>
          <w:p w14:paraId="2859E28B">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□实现产品设计和工艺设计间的信息交互和并行协同</w:t>
            </w:r>
          </w:p>
          <w:p w14:paraId="267ACBD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2060E6B9">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37E0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947181A">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restart"/>
            <w:vAlign w:val="center"/>
          </w:tcPr>
          <w:p w14:paraId="3D8CA1F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生产</w:t>
            </w:r>
          </w:p>
          <w:p w14:paraId="2924920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管控</w:t>
            </w:r>
          </w:p>
          <w:p w14:paraId="2F4003AF">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（42%）</w:t>
            </w:r>
          </w:p>
        </w:tc>
        <w:tc>
          <w:tcPr>
            <w:tcW w:w="796" w:type="dxa"/>
            <w:tcBorders>
              <w:top w:val="nil"/>
              <w:left w:val="single" w:color="auto" w:sz="4" w:space="0"/>
              <w:bottom w:val="single" w:color="auto" w:sz="4" w:space="0"/>
              <w:right w:val="single" w:color="auto" w:sz="4" w:space="0"/>
            </w:tcBorders>
            <w:shd w:val="clear" w:color="auto" w:fill="auto"/>
            <w:vAlign w:val="center"/>
          </w:tcPr>
          <w:p w14:paraId="16BF2C49">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9</w:t>
            </w:r>
          </w:p>
          <w:p w14:paraId="1FAE2999">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（20%）</w:t>
            </w:r>
          </w:p>
        </w:tc>
        <w:tc>
          <w:tcPr>
            <w:tcW w:w="4536" w:type="dxa"/>
            <w:shd w:val="clear" w:color="auto" w:fill="auto"/>
            <w:vAlign w:val="center"/>
          </w:tcPr>
          <w:p w14:paraId="6F3EDF7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生产计划环节，企业实现生产计划排产排程的情况</w:t>
            </w:r>
            <w:r>
              <w:rPr>
                <w:rFonts w:hint="eastAsia" w:ascii="仿宋_GB2312" w:hAnsi="仿宋_GB2312" w:eastAsia="仿宋_GB2312" w:cs="仿宋_GB2312"/>
                <w:color w:val="auto"/>
                <w:kern w:val="0"/>
                <w:sz w:val="24"/>
                <w:szCs w:val="20"/>
                <w:highlight w:val="none"/>
              </w:rPr>
              <w:t>（单选）</w:t>
            </w:r>
          </w:p>
          <w:p w14:paraId="70FED24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□通过信息系统实现具有约束条件的主生产计划生产和物料需求计算</w:t>
            </w:r>
          </w:p>
          <w:p w14:paraId="023447A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□通过信息系统开展车间计划排产</w:t>
            </w:r>
          </w:p>
          <w:p w14:paraId="4124C5B2">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□部分车间生产计划实现自动排产</w:t>
            </w:r>
          </w:p>
          <w:p w14:paraId="5691F79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□全部车间生产计划实现自动排产</w:t>
            </w:r>
          </w:p>
          <w:p w14:paraId="2FAE0AD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74B13C37">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25DF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5D96420">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continue"/>
            <w:vAlign w:val="center"/>
          </w:tcPr>
          <w:p w14:paraId="0D086432">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796" w:type="dxa"/>
            <w:tcBorders>
              <w:top w:val="nil"/>
              <w:left w:val="single" w:color="auto" w:sz="4" w:space="0"/>
              <w:bottom w:val="single" w:color="auto" w:sz="4" w:space="0"/>
              <w:right w:val="single" w:color="auto" w:sz="4" w:space="0"/>
            </w:tcBorders>
            <w:shd w:val="clear" w:color="auto" w:fill="auto"/>
            <w:vAlign w:val="center"/>
          </w:tcPr>
          <w:p w14:paraId="590933E7">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10</w:t>
            </w:r>
          </w:p>
          <w:p w14:paraId="42EA7E8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（10%）</w:t>
            </w:r>
          </w:p>
        </w:tc>
        <w:tc>
          <w:tcPr>
            <w:tcW w:w="4536" w:type="dxa"/>
            <w:shd w:val="clear" w:color="auto" w:fill="auto"/>
            <w:vAlign w:val="center"/>
          </w:tcPr>
          <w:p w14:paraId="48104B70">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生产监控环节，企业利用信息系统实现生产过程监控的情况</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5743DAA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□设备：能够在一种或多种单个设备层面实现生产过程监控</w:t>
            </w:r>
          </w:p>
          <w:p w14:paraId="62905E4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□工序：能够在一道或多道工序层面实现生产过程监控。</w:t>
            </w:r>
          </w:p>
          <w:p w14:paraId="1BBD391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□生产线：能够在一条或多条生产线层面实现生产过程监控</w:t>
            </w:r>
          </w:p>
          <w:p w14:paraId="54BE014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□车间：能够在一个或多个车间层面实现生产过程监控。</w:t>
            </w:r>
          </w:p>
          <w:p w14:paraId="4CBBDC6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509635F8">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29E4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349141E3">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continue"/>
            <w:vAlign w:val="center"/>
          </w:tcPr>
          <w:p w14:paraId="2364F059">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796" w:type="dxa"/>
            <w:tcBorders>
              <w:top w:val="nil"/>
              <w:left w:val="single" w:color="auto" w:sz="4" w:space="0"/>
              <w:bottom w:val="single" w:color="auto" w:sz="4" w:space="0"/>
              <w:right w:val="single" w:color="auto" w:sz="4" w:space="0"/>
            </w:tcBorders>
            <w:shd w:val="clear" w:color="auto" w:fill="auto"/>
            <w:vAlign w:val="center"/>
          </w:tcPr>
          <w:p w14:paraId="234A5356">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11</w:t>
            </w:r>
          </w:p>
          <w:p w14:paraId="7FD94FC7">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（30%）</w:t>
            </w:r>
          </w:p>
        </w:tc>
        <w:tc>
          <w:tcPr>
            <w:tcW w:w="4536" w:type="dxa"/>
            <w:shd w:val="clear" w:color="auto" w:fill="auto"/>
            <w:vAlign w:val="center"/>
          </w:tcPr>
          <w:p w14:paraId="2F39368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生产作业环节，企业实现智能制造典型场景的覆盖范围</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5FACE20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□自动巡检：应用智能巡检装备或设备管理系统，集成数字化技术，实现对设备的高效巡检或异常报警等（50%以上关键业务设备实现下列数字化场景即可勾选该项）</w:t>
            </w:r>
          </w:p>
          <w:p w14:paraId="6BBD7AA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□生产过程可视化：依托各类生产、系统集成，实现生产成本、交期或订单执行进度的可视化（50%以上关键业务生产成本、交期或订单执行进度实现即可勾选）</w:t>
            </w:r>
          </w:p>
          <w:p w14:paraId="019EBF5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□精益生产管理：应用数字化工具和方法，开展数据驱动的人、机、料等精确管控，减少生产浪费（50%以上关键业务人、机、料等实现即可勾选）</w:t>
            </w:r>
          </w:p>
          <w:p w14:paraId="55B09BF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□人机协同作业：集成机器人、高端机床或人机交互设备等智能装备，应用AR/VR、机器视觉等技术，实现生产的高效组织和作业协同（50%以上关键产线实现即可勾选）</w:t>
            </w:r>
          </w:p>
          <w:p w14:paraId="6D3C68D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基于数字孪生的制造：构建装备、产线、车间、工厂等一种或几种不同层级的数字孪生系统，实现物理世界和虚拟空间的实时映射，推动感知、分析、预测和控制能力的全面提升（某一或几种/个关键装备、产线、车间或工厂实现即可勾选）</w:t>
            </w:r>
          </w:p>
          <w:p w14:paraId="7A1489F0">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42F87840">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6701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081C111">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continue"/>
            <w:vAlign w:val="center"/>
          </w:tcPr>
          <w:p w14:paraId="11D1F1E6">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796" w:type="dxa"/>
            <w:tcBorders>
              <w:top w:val="nil"/>
              <w:left w:val="single" w:color="auto" w:sz="4" w:space="0"/>
              <w:bottom w:val="single" w:color="auto" w:sz="4" w:space="0"/>
              <w:right w:val="single" w:color="auto" w:sz="4" w:space="0"/>
            </w:tcBorders>
            <w:shd w:val="clear" w:color="auto" w:fill="auto"/>
            <w:vAlign w:val="center"/>
          </w:tcPr>
          <w:p w14:paraId="7897F05C">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12</w:t>
            </w:r>
          </w:p>
          <w:p w14:paraId="28149845">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（20%）</w:t>
            </w:r>
          </w:p>
        </w:tc>
        <w:tc>
          <w:tcPr>
            <w:tcW w:w="4536" w:type="dxa"/>
            <w:shd w:val="clear" w:color="auto" w:fill="auto"/>
            <w:vAlign w:val="center"/>
          </w:tcPr>
          <w:p w14:paraId="726AFE1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质量控制环节，企业运用数字化手段提高质量控制能力的重点场景覆盖范围</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5E54146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（某一种或几种关键产品或物料实现即可勾选）</w:t>
            </w:r>
          </w:p>
          <w:p w14:paraId="7B40D63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□数字化检测：应用数字化设备和技术，实现关键环节的在线检测、分析、结果判定</w:t>
            </w:r>
          </w:p>
          <w:p w14:paraId="40A4A8B9">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□质量精准追溯：应用数字化技术，采集产品原料、生产过程、客户使用的质量信息等信息，实现产品质量全过程精准追溯</w:t>
            </w:r>
          </w:p>
          <w:p w14:paraId="0FD6A175">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□产品质量优化：应用数字化技术，实现产品质量影响因素识别、缺陷分析预测或质量优化提升</w:t>
            </w:r>
          </w:p>
          <w:p w14:paraId="0467671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□质量控制协同：利用数字化手段实现质量控制与相关业务的协同，包括质量与规范同步、检测数据与设备信息同步、供应商质量信息同步、客户质量信息同步等</w:t>
            </w:r>
          </w:p>
          <w:p w14:paraId="1E50290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7B45171B">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1843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76B48E1">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Merge w:val="continue"/>
            <w:vAlign w:val="center"/>
          </w:tcPr>
          <w:p w14:paraId="03F6D80A">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796" w:type="dxa"/>
            <w:tcBorders>
              <w:top w:val="nil"/>
              <w:left w:val="single" w:color="auto" w:sz="4" w:space="0"/>
              <w:bottom w:val="single" w:color="auto" w:sz="4" w:space="0"/>
              <w:right w:val="single" w:color="auto" w:sz="4" w:space="0"/>
            </w:tcBorders>
            <w:shd w:val="clear" w:color="auto" w:fill="auto"/>
            <w:vAlign w:val="center"/>
          </w:tcPr>
          <w:p w14:paraId="1F403DE8">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13</w:t>
            </w:r>
          </w:p>
          <w:p w14:paraId="6254EFA9">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（20%）</w:t>
            </w:r>
          </w:p>
        </w:tc>
        <w:tc>
          <w:tcPr>
            <w:tcW w:w="4536" w:type="dxa"/>
            <w:shd w:val="clear" w:color="auto" w:fill="auto"/>
            <w:vAlign w:val="center"/>
          </w:tcPr>
          <w:p w14:paraId="1E28B56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仓储物流环节：企业实现仓储物流数字化场景的覆盖范围</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249DA90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（注1：50%以上关键原料、半成品、成品等实现下列数字化场景即可勾选该项）</w:t>
            </w:r>
          </w:p>
          <w:p w14:paraId="73FEF49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（注2：通过第三方、第四方物流实现的仓储物流数字化，如覆盖下述场景也可勾选）</w:t>
            </w:r>
          </w:p>
          <w:p w14:paraId="43F5835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□物料条码管理：统一条码管理标识货物</w:t>
            </w:r>
          </w:p>
          <w:p w14:paraId="4A966E2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□智能仓储：应用数字化技术，依据实际生产作业计划，实现物料自动入库（进厂）、盘库或出库（出厂）</w:t>
            </w:r>
          </w:p>
          <w:p w14:paraId="1908D4B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□精准配送：应用数字化技术，实现动态调度、自动配送或路径优化</w:t>
            </w:r>
          </w:p>
          <w:p w14:paraId="03BB485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□物料实时跟踪：应用制造执行系统（MES）或仓储管理系统（WMS），采用数字化技术，实现原材料、在制品或产成品流转的全程跟踪</w:t>
            </w:r>
          </w:p>
          <w:p w14:paraId="43B93449">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□物流监测与优化：依托运输管理系统（TMS），应用数字化技术，实现运输配送全程跟踪或异常预警，装载能力优化或配送路径优化</w:t>
            </w:r>
          </w:p>
          <w:p w14:paraId="113B689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700BA9B4">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5ACD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2F02C7E">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Align w:val="center"/>
          </w:tcPr>
          <w:p w14:paraId="5CB65948">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采购</w:t>
            </w:r>
          </w:p>
          <w:p w14:paraId="4529D045">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供应</w:t>
            </w:r>
          </w:p>
          <w:p w14:paraId="4BCD2FC5">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（10%）</w:t>
            </w:r>
          </w:p>
        </w:tc>
        <w:tc>
          <w:tcPr>
            <w:tcW w:w="796" w:type="dxa"/>
            <w:tcBorders>
              <w:top w:val="nil"/>
              <w:left w:val="single" w:color="auto" w:sz="4" w:space="0"/>
              <w:bottom w:val="single" w:color="auto" w:sz="4" w:space="0"/>
              <w:right w:val="single" w:color="auto" w:sz="4" w:space="0"/>
            </w:tcBorders>
            <w:shd w:val="clear" w:color="auto" w:fill="auto"/>
            <w:vAlign w:val="center"/>
          </w:tcPr>
          <w:p w14:paraId="5B442470">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14</w:t>
            </w:r>
          </w:p>
        </w:tc>
        <w:tc>
          <w:tcPr>
            <w:tcW w:w="4536" w:type="dxa"/>
            <w:shd w:val="clear" w:color="auto" w:fill="auto"/>
            <w:vAlign w:val="center"/>
          </w:tcPr>
          <w:p w14:paraId="61BDB9F2">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采购供应环节：企业实现采购管理数字化场景的覆盖范围</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7A12249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（50%以上关键业务采购活动实现下列数字化场景即可勾选该项）</w:t>
            </w:r>
          </w:p>
          <w:p w14:paraId="3899D3B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□采购管理信息化：通过信息系统实现采购计划</w:t>
            </w:r>
            <w:r>
              <w:rPr>
                <w:rFonts w:hint="eastAsia" w:ascii="仿宋_GB2312" w:hAnsi="仿宋_GB2312" w:eastAsia="仿宋_GB2312" w:cs="仿宋_GB2312"/>
                <w:color w:val="auto"/>
                <w:kern w:val="0"/>
                <w:sz w:val="24"/>
                <w:szCs w:val="20"/>
                <w:highlight w:val="none"/>
              </w:rPr>
              <w:t>管理</w:t>
            </w:r>
            <w:r>
              <w:rPr>
                <w:rFonts w:ascii="仿宋_GB2312" w:hAnsi="仿宋_GB2312" w:eastAsia="仿宋_GB2312" w:cs="仿宋_GB2312"/>
                <w:color w:val="auto"/>
                <w:kern w:val="0"/>
                <w:sz w:val="24"/>
                <w:szCs w:val="20"/>
                <w:highlight w:val="none"/>
              </w:rPr>
              <w:t>、采购过程管理和供应商管理</w:t>
            </w:r>
          </w:p>
          <w:p w14:paraId="3FE3F6B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□采购策略优化：建设供应链管理系统（SCM），集成数字化技术，实现供应商综合评价、采购需求精准决策或采购方案动态优化</w:t>
            </w:r>
          </w:p>
          <w:p w14:paraId="5BD81F3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□供应链可视化：搭建供应链管理系统（SCM），融合数字化技术，实现供应链可视化监控。</w:t>
            </w:r>
          </w:p>
          <w:p w14:paraId="4CF366A4">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□供应链风险预警与弹性管控：建立供应链管理系统（SCM），集成数字化技术，开展供应链风险隐患识别、定位、预警或高效处置</w:t>
            </w:r>
          </w:p>
          <w:p w14:paraId="2C3F418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□采购协同：利用数字化技术实现采购供应与相关业务的协同，包括业务配合同步、质量与规范同步、结算对账同步、库存与计划同步等</w:t>
            </w:r>
          </w:p>
          <w:p w14:paraId="78C3620C">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2A642961">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2060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310C9730">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Align w:val="center"/>
          </w:tcPr>
          <w:p w14:paraId="4635719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营销</w:t>
            </w:r>
          </w:p>
          <w:p w14:paraId="6C3E14F8">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管理</w:t>
            </w:r>
          </w:p>
          <w:p w14:paraId="48E2069B">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（10%）</w:t>
            </w:r>
          </w:p>
        </w:tc>
        <w:tc>
          <w:tcPr>
            <w:tcW w:w="796" w:type="dxa"/>
            <w:tcBorders>
              <w:top w:val="nil"/>
              <w:left w:val="single" w:color="auto" w:sz="4" w:space="0"/>
              <w:bottom w:val="single" w:color="auto" w:sz="4" w:space="0"/>
              <w:right w:val="single" w:color="auto" w:sz="4" w:space="0"/>
            </w:tcBorders>
            <w:shd w:val="clear" w:color="auto" w:fill="auto"/>
            <w:vAlign w:val="center"/>
          </w:tcPr>
          <w:p w14:paraId="6681391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15</w:t>
            </w:r>
          </w:p>
        </w:tc>
        <w:tc>
          <w:tcPr>
            <w:tcW w:w="4536" w:type="dxa"/>
            <w:shd w:val="clear" w:color="auto" w:fill="auto"/>
            <w:vAlign w:val="center"/>
          </w:tcPr>
          <w:p w14:paraId="790A3D59">
            <w:pPr>
              <w:snapToGrid w:val="0"/>
              <w:spacing w:line="240" w:lineRule="atLeast"/>
              <w:contextualSpacing/>
              <w:jc w:val="left"/>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营销管理环节，企业实现营销管理数字化场景的覆盖范围</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17D1D3D9">
            <w:pPr>
              <w:snapToGrid w:val="0"/>
              <w:spacing w:line="240" w:lineRule="atLeast"/>
              <w:contextualSpacing/>
              <w:jc w:val="left"/>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（50%以上关键业务市场营销实现下列数字化场景即可勾选该项）</w:t>
            </w:r>
          </w:p>
          <w:p w14:paraId="6ACA2E59">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□销售计划动态优化：依托客户关系管理系统（CRM），应用数字化技术，实现挖掘分析客户信息、构建用户画像、构建需求预测模型或制定精准销售计划</w:t>
            </w:r>
          </w:p>
          <w:p w14:paraId="2F39FD04">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□市场快速分析预测：应用数字化技术，实现对市场未来供求趋势、影响因素或其变化规律的精准分析、判断或预测</w:t>
            </w:r>
          </w:p>
          <w:p w14:paraId="6977334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□销售驱动业务优化：应用数字化技术，根据客户需求变化，动态调整设计采购、生产或物流等方案</w:t>
            </w:r>
          </w:p>
          <w:p w14:paraId="3025D10B">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2DB2A1DB">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746A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5B4EAFF">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vAlign w:val="center"/>
          </w:tcPr>
          <w:p w14:paraId="05F5857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产品</w:t>
            </w:r>
          </w:p>
          <w:p w14:paraId="1C54C1A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服务</w:t>
            </w:r>
          </w:p>
          <w:p w14:paraId="6609204A">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（14%）</w:t>
            </w:r>
          </w:p>
        </w:tc>
        <w:tc>
          <w:tcPr>
            <w:tcW w:w="796" w:type="dxa"/>
            <w:tcBorders>
              <w:top w:val="nil"/>
              <w:left w:val="single" w:color="auto" w:sz="4" w:space="0"/>
              <w:bottom w:val="single" w:color="auto" w:sz="4" w:space="0"/>
              <w:right w:val="single" w:color="auto" w:sz="4" w:space="0"/>
            </w:tcBorders>
            <w:shd w:val="clear" w:color="auto" w:fill="auto"/>
            <w:vAlign w:val="center"/>
          </w:tcPr>
          <w:p w14:paraId="40543CA0">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16</w:t>
            </w:r>
          </w:p>
        </w:tc>
        <w:tc>
          <w:tcPr>
            <w:tcW w:w="4536" w:type="dxa"/>
            <w:shd w:val="clear" w:color="auto" w:fill="auto"/>
            <w:vAlign w:val="center"/>
          </w:tcPr>
          <w:p w14:paraId="05799C3B">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产品服务环节，企业实现产品服务数字化场景的覆盖范围</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60D25DFA">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w:t>
            </w:r>
            <w:bookmarkStart w:id="71" w:name="_Hlk104714702"/>
            <w:r>
              <w:rPr>
                <w:rFonts w:ascii="仿宋_GB2312" w:hAnsi="仿宋_GB2312" w:eastAsia="仿宋_GB2312" w:cs="仿宋_GB2312"/>
                <w:color w:val="auto"/>
                <w:kern w:val="0"/>
                <w:sz w:val="24"/>
                <w:szCs w:val="20"/>
                <w:highlight w:val="none"/>
              </w:rPr>
              <w:t>利用信息系统实现售后服务数字化管理</w:t>
            </w:r>
            <w:bookmarkEnd w:id="71"/>
            <w:r>
              <w:rPr>
                <w:rFonts w:ascii="仿宋_GB2312" w:hAnsi="仿宋_GB2312" w:eastAsia="仿宋_GB2312" w:cs="仿宋_GB2312"/>
                <w:color w:val="auto"/>
                <w:kern w:val="0"/>
                <w:sz w:val="24"/>
                <w:szCs w:val="20"/>
                <w:highlight w:val="none"/>
              </w:rPr>
              <w:t>的情况（50%以上关键产品售后服务实现下列数字化场景即可勾选该项）</w:t>
            </w:r>
          </w:p>
          <w:p w14:paraId="767E456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□退换货质量管理 </w:t>
            </w:r>
          </w:p>
          <w:p w14:paraId="258AE97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□客户体验调查 </w:t>
            </w:r>
          </w:p>
          <w:p w14:paraId="064C03B9">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□客户满意度调查 </w:t>
            </w:r>
          </w:p>
          <w:p w14:paraId="015B6019">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p w14:paraId="024875BC">
            <w:pPr>
              <w:snapToGrid w:val="0"/>
              <w:spacing w:line="240" w:lineRule="atLeast"/>
              <w:contextualSpacing/>
              <w:rPr>
                <w:rFonts w:ascii="仿宋_GB2312" w:hAnsi="仿宋_GB2312" w:eastAsia="仿宋_GB2312" w:cs="仿宋_GB2312"/>
                <w:color w:val="auto"/>
                <w:kern w:val="0"/>
                <w:sz w:val="24"/>
                <w:szCs w:val="20"/>
                <w:highlight w:val="none"/>
              </w:rPr>
            </w:pPr>
          </w:p>
          <w:p w14:paraId="1583DCB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（2）利用数字化技术实现售后服务与相关业务的协同情况（50%以上关键产品售后服务实现下列数字化场景即可勾选该项）</w:t>
            </w:r>
          </w:p>
          <w:p w14:paraId="75B16F83">
            <w:pPr>
              <w:snapToGrid w:val="0"/>
              <w:spacing w:line="240" w:lineRule="atLeast"/>
              <w:ind w:left="240" w:hanging="240" w:hangingChars="100"/>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□售后配件与库存协同</w:t>
            </w:r>
          </w:p>
          <w:p w14:paraId="5B1F7709">
            <w:pPr>
              <w:snapToGrid w:val="0"/>
              <w:spacing w:line="240" w:lineRule="atLeast"/>
              <w:ind w:left="240" w:hanging="240" w:hangingChars="100"/>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□失效产品追溯与质量根因分析</w:t>
            </w:r>
          </w:p>
          <w:p w14:paraId="56DB7073">
            <w:pPr>
              <w:snapToGrid w:val="0"/>
              <w:spacing w:line="240" w:lineRule="atLeast"/>
              <w:ind w:left="240" w:hanging="240" w:hangingChars="100"/>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□失效原因与设计优化协同 </w:t>
            </w:r>
          </w:p>
          <w:p w14:paraId="73057BED">
            <w:pPr>
              <w:snapToGrid w:val="0"/>
              <w:spacing w:line="240" w:lineRule="atLeast"/>
              <w:ind w:left="240" w:hanging="240" w:hangingChars="100"/>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p w14:paraId="368FE996">
            <w:pPr>
              <w:snapToGrid w:val="0"/>
              <w:spacing w:line="240" w:lineRule="atLeast"/>
              <w:contextualSpacing/>
              <w:rPr>
                <w:rFonts w:ascii="仿宋_GB2312" w:hAnsi="仿宋_GB2312" w:eastAsia="仿宋_GB2312" w:cs="仿宋_GB2312"/>
                <w:color w:val="auto"/>
                <w:kern w:val="0"/>
                <w:sz w:val="24"/>
                <w:szCs w:val="20"/>
                <w:highlight w:val="none"/>
              </w:rPr>
            </w:pPr>
          </w:p>
          <w:p w14:paraId="7F72D65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（3）新一代信息技术在新型智能产品中应用场景的覆盖范围（某一种或几种关键产品实现下列数字化场景即可勾选该项）</w:t>
            </w:r>
          </w:p>
          <w:p w14:paraId="63A9071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□数据增值服务：分析产品的运行工况等数据，应用数字化技术，提供设备估值、融资租赁、资产处置等新业务</w:t>
            </w:r>
          </w:p>
          <w:p w14:paraId="07858CB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□主动客户服务：依托客户关系管理系统（CRM），集成数字化技术，实现精细化管理或主动式客户服务</w:t>
            </w:r>
          </w:p>
          <w:p w14:paraId="7ED71CC4">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□用户直连制造：通过用户和企业的深度交互，提供满足个性化需求的产品定制设计、柔性化生产或个性化服务</w:t>
            </w:r>
          </w:p>
          <w:p w14:paraId="74A1984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□大批量定制：通过生产柔性化、敏捷化或产品模块化，根据客户的个性化需求，以大批量生产方式提供定制化的产品和服务</w:t>
            </w:r>
          </w:p>
          <w:p w14:paraId="5F19FAA2">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□产品的远程运维：依托产品远程运维管理平台，实现基于运行数据的产品远程监控、预测性维护或产品设计的持续改进</w:t>
            </w:r>
          </w:p>
          <w:p w14:paraId="016A3B4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594F4686">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02E7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89ED994">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shd w:val="clear" w:color="auto" w:fill="auto"/>
            <w:vAlign w:val="center"/>
          </w:tcPr>
          <w:p w14:paraId="5E10D943">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业务</w:t>
            </w:r>
          </w:p>
          <w:p w14:paraId="1C26E19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协同</w:t>
            </w:r>
          </w:p>
          <w:p w14:paraId="61F382C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（10%）</w:t>
            </w:r>
          </w:p>
        </w:tc>
        <w:tc>
          <w:tcPr>
            <w:tcW w:w="796" w:type="dxa"/>
            <w:tcBorders>
              <w:top w:val="nil"/>
              <w:left w:val="single" w:color="auto" w:sz="4" w:space="0"/>
              <w:bottom w:val="single" w:color="auto" w:sz="4" w:space="0"/>
              <w:right w:val="single" w:color="auto" w:sz="4" w:space="0"/>
            </w:tcBorders>
            <w:shd w:val="clear" w:color="auto" w:fill="auto"/>
            <w:vAlign w:val="center"/>
          </w:tcPr>
          <w:p w14:paraId="33851614">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17</w:t>
            </w:r>
          </w:p>
        </w:tc>
        <w:tc>
          <w:tcPr>
            <w:tcW w:w="4536" w:type="dxa"/>
            <w:shd w:val="clear" w:color="auto" w:fill="auto"/>
            <w:vAlign w:val="center"/>
          </w:tcPr>
          <w:p w14:paraId="1C67A58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业务协同方面，企业使用数字化技术实现企业间业务协同数字化场景的覆盖范围</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5621EEA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（50%以上关键业务客户、上游供应企业或合作伙伴使用数字化技术实现下列数字化场景即可勾选该项）</w:t>
            </w:r>
          </w:p>
          <w:p w14:paraId="0A7F03C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□实现研发设计协同 </w:t>
            </w:r>
          </w:p>
          <w:p w14:paraId="6A9259E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□实现生产制造协同 </w:t>
            </w:r>
          </w:p>
          <w:p w14:paraId="25B8073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□实现订货业务协同 </w:t>
            </w:r>
          </w:p>
          <w:p w14:paraId="150219D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□实现物流仓储协同 </w:t>
            </w:r>
          </w:p>
          <w:p w14:paraId="2FDDEAE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□实现财务结算协同 </w:t>
            </w:r>
          </w:p>
          <w:p w14:paraId="76A1F2E0">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□以上均无 </w:t>
            </w:r>
          </w:p>
        </w:tc>
        <w:tc>
          <w:tcPr>
            <w:tcW w:w="1984" w:type="dxa"/>
            <w:shd w:val="clear" w:color="auto" w:fill="auto"/>
            <w:vAlign w:val="center"/>
          </w:tcPr>
          <w:p w14:paraId="2B6D15DB">
            <w:pPr>
              <w:snapToGrid w:val="0"/>
              <w:spacing w:line="240" w:lineRule="atLeast"/>
              <w:contextualSpacing/>
              <w:jc w:val="center"/>
              <w:rPr>
                <w:rFonts w:ascii="仿宋_GB2312" w:hAnsi="仿宋_GB2312" w:eastAsia="仿宋_GB2312" w:cs="仿宋_GB2312"/>
                <w:color w:val="auto"/>
                <w:kern w:val="0"/>
                <w:sz w:val="24"/>
                <w:szCs w:val="20"/>
                <w:highlight w:val="none"/>
              </w:rPr>
            </w:pPr>
          </w:p>
        </w:tc>
      </w:tr>
      <w:tr w14:paraId="3B6F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54B7DE9B">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三、</w:t>
            </w:r>
          </w:p>
          <w:p w14:paraId="3CE1612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数字化管理</w:t>
            </w:r>
          </w:p>
          <w:p w14:paraId="05FF059F">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（20%）</w:t>
            </w:r>
          </w:p>
        </w:tc>
        <w:tc>
          <w:tcPr>
            <w:tcW w:w="1135" w:type="dxa"/>
            <w:shd w:val="clear" w:color="auto" w:fill="auto"/>
            <w:vAlign w:val="center"/>
          </w:tcPr>
          <w:p w14:paraId="28A92F0D">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经营</w:t>
            </w:r>
          </w:p>
          <w:p w14:paraId="24597CCB">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战略</w:t>
            </w:r>
          </w:p>
          <w:p w14:paraId="7DD6B949">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（15%）</w:t>
            </w:r>
          </w:p>
        </w:tc>
        <w:tc>
          <w:tcPr>
            <w:tcW w:w="796" w:type="dxa"/>
            <w:tcBorders>
              <w:top w:val="nil"/>
              <w:left w:val="single" w:color="auto" w:sz="4" w:space="0"/>
              <w:bottom w:val="single" w:color="auto" w:sz="4" w:space="0"/>
              <w:right w:val="single" w:color="auto" w:sz="4" w:space="0"/>
            </w:tcBorders>
            <w:shd w:val="clear" w:color="auto" w:fill="auto"/>
            <w:vAlign w:val="center"/>
          </w:tcPr>
          <w:p w14:paraId="1D054B23">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18</w:t>
            </w:r>
          </w:p>
        </w:tc>
        <w:tc>
          <w:tcPr>
            <w:tcW w:w="4536" w:type="dxa"/>
            <w:shd w:val="clear" w:color="auto" w:fill="auto"/>
            <w:vAlign w:val="center"/>
          </w:tcPr>
          <w:p w14:paraId="414D2A7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企业数字化转型意识与执行水平情况</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6B1DDF4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□已经对数字化转型有了明确的目标（至少半年为期）</w:t>
            </w:r>
          </w:p>
          <w:p w14:paraId="50DF33C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□已制定了数字化转型规划及具体的实施计划</w:t>
            </w:r>
          </w:p>
          <w:p w14:paraId="733F591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□已基于战略规划开展业务模式和管理决策方式的变革实践</w:t>
            </w:r>
          </w:p>
          <w:p w14:paraId="52A55F2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5B4D3A31">
            <w:pPr>
              <w:snapToGrid w:val="0"/>
              <w:spacing w:line="240" w:lineRule="atLeast"/>
              <w:contextualSpacing/>
              <w:rPr>
                <w:rFonts w:ascii="仿宋_GB2312" w:hAnsi="仿宋_GB2312" w:eastAsia="仿宋_GB2312" w:cs="仿宋_GB2312"/>
                <w:color w:val="auto"/>
                <w:kern w:val="0"/>
                <w:sz w:val="24"/>
                <w:szCs w:val="20"/>
                <w:highlight w:val="none"/>
              </w:rPr>
            </w:pPr>
          </w:p>
        </w:tc>
      </w:tr>
      <w:tr w14:paraId="6CB5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ADC555D">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shd w:val="clear" w:color="auto" w:fill="auto"/>
            <w:vAlign w:val="center"/>
          </w:tcPr>
          <w:p w14:paraId="6048EF3F">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管理</w:t>
            </w:r>
          </w:p>
          <w:p w14:paraId="6ECEC04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机制</w:t>
            </w:r>
          </w:p>
          <w:p w14:paraId="4CCA7ADC">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（35%）</w:t>
            </w:r>
          </w:p>
        </w:tc>
        <w:tc>
          <w:tcPr>
            <w:tcW w:w="796" w:type="dxa"/>
            <w:tcBorders>
              <w:top w:val="nil"/>
              <w:left w:val="single" w:color="auto" w:sz="4" w:space="0"/>
              <w:bottom w:val="single" w:color="auto" w:sz="4" w:space="0"/>
              <w:right w:val="single" w:color="auto" w:sz="4" w:space="0"/>
            </w:tcBorders>
            <w:shd w:val="clear" w:color="auto" w:fill="auto"/>
            <w:vAlign w:val="center"/>
          </w:tcPr>
          <w:p w14:paraId="7D30310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19</w:t>
            </w:r>
          </w:p>
        </w:tc>
        <w:tc>
          <w:tcPr>
            <w:tcW w:w="4536" w:type="dxa"/>
            <w:shd w:val="clear" w:color="auto" w:fill="auto"/>
            <w:vAlign w:val="center"/>
          </w:tcPr>
          <w:p w14:paraId="0B46E95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企业在设置数字化组织与管理制度等方面采取的措施</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p>
          <w:p w14:paraId="4BD763F5">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□设置专门的数字化人员岗位或部门 </w:t>
            </w:r>
          </w:p>
          <w:p w14:paraId="20A2244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□为数字化人才设立专门的绩效薪酬体系 </w:t>
            </w:r>
          </w:p>
          <w:p w14:paraId="40CCB94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□对数字化收支单独建账核算 </w:t>
            </w:r>
          </w:p>
          <w:p w14:paraId="580DB7B5">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□建立数字化信息系统管理相关制度规范 </w:t>
            </w:r>
          </w:p>
          <w:p w14:paraId="59F8F50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□以上均无 </w:t>
            </w:r>
          </w:p>
        </w:tc>
        <w:tc>
          <w:tcPr>
            <w:tcW w:w="1984" w:type="dxa"/>
            <w:shd w:val="clear" w:color="auto" w:fill="auto"/>
            <w:vAlign w:val="center"/>
          </w:tcPr>
          <w:p w14:paraId="59279259">
            <w:pPr>
              <w:snapToGrid w:val="0"/>
              <w:spacing w:line="240" w:lineRule="atLeast"/>
              <w:contextualSpacing/>
              <w:rPr>
                <w:rFonts w:ascii="仿宋_GB2312" w:hAnsi="仿宋_GB2312" w:eastAsia="仿宋_GB2312" w:cs="仿宋_GB2312"/>
                <w:color w:val="auto"/>
                <w:kern w:val="0"/>
                <w:sz w:val="24"/>
                <w:szCs w:val="20"/>
                <w:highlight w:val="none"/>
              </w:rPr>
            </w:pPr>
          </w:p>
        </w:tc>
      </w:tr>
      <w:tr w14:paraId="0668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398B9FA9">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shd w:val="clear" w:color="auto" w:fill="auto"/>
            <w:vAlign w:val="center"/>
          </w:tcPr>
          <w:p w14:paraId="6BFD953C">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人才</w:t>
            </w:r>
          </w:p>
          <w:p w14:paraId="3D29D839">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建设</w:t>
            </w:r>
          </w:p>
          <w:p w14:paraId="13509F9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（25%）</w:t>
            </w:r>
          </w:p>
        </w:tc>
        <w:tc>
          <w:tcPr>
            <w:tcW w:w="796" w:type="dxa"/>
            <w:tcBorders>
              <w:top w:val="nil"/>
              <w:left w:val="single" w:color="auto" w:sz="4" w:space="0"/>
              <w:bottom w:val="single" w:color="auto" w:sz="4" w:space="0"/>
              <w:right w:val="single" w:color="auto" w:sz="4" w:space="0"/>
            </w:tcBorders>
            <w:shd w:val="clear" w:color="auto" w:fill="auto"/>
            <w:vAlign w:val="center"/>
          </w:tcPr>
          <w:p w14:paraId="64037919">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20</w:t>
            </w:r>
          </w:p>
        </w:tc>
        <w:tc>
          <w:tcPr>
            <w:tcW w:w="4536" w:type="dxa"/>
            <w:shd w:val="clear" w:color="auto" w:fill="auto"/>
            <w:vAlign w:val="center"/>
          </w:tcPr>
          <w:p w14:paraId="3B6AD87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企业在数字化方面培训覆盖的人员范围</w:t>
            </w:r>
          </w:p>
          <w:p w14:paraId="02FD0684">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□信息化部门员工</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多选</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 xml:space="preserve"> </w:t>
            </w:r>
          </w:p>
          <w:p w14:paraId="6B87807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□业务部门员工 </w:t>
            </w:r>
          </w:p>
          <w:p w14:paraId="69D11A60">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□企业主要决策人员 </w:t>
            </w:r>
          </w:p>
          <w:p w14:paraId="3DC59E62">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□其他员工</w:t>
            </w:r>
          </w:p>
          <w:p w14:paraId="175237EB">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□以上均无</w:t>
            </w:r>
          </w:p>
        </w:tc>
        <w:tc>
          <w:tcPr>
            <w:tcW w:w="1984" w:type="dxa"/>
            <w:shd w:val="clear" w:color="auto" w:fill="auto"/>
            <w:vAlign w:val="center"/>
          </w:tcPr>
          <w:p w14:paraId="1F5C346B">
            <w:pPr>
              <w:snapToGrid w:val="0"/>
              <w:spacing w:line="240" w:lineRule="atLeast"/>
              <w:contextualSpacing/>
              <w:rPr>
                <w:rFonts w:ascii="仿宋_GB2312" w:hAnsi="仿宋_GB2312" w:eastAsia="仿宋_GB2312" w:cs="仿宋_GB2312"/>
                <w:color w:val="auto"/>
                <w:kern w:val="0"/>
                <w:sz w:val="24"/>
                <w:szCs w:val="20"/>
                <w:highlight w:val="none"/>
              </w:rPr>
            </w:pPr>
          </w:p>
        </w:tc>
      </w:tr>
      <w:tr w14:paraId="5EBB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EB8DE64">
            <w:pPr>
              <w:snapToGrid w:val="0"/>
              <w:spacing w:line="240" w:lineRule="atLeast"/>
              <w:contextualSpacing/>
              <w:jc w:val="center"/>
              <w:rPr>
                <w:rFonts w:ascii="仿宋_GB2312" w:hAnsi="仿宋_GB2312" w:eastAsia="仿宋_GB2312" w:cs="仿宋_GB2312"/>
                <w:color w:val="auto"/>
                <w:kern w:val="0"/>
                <w:sz w:val="24"/>
                <w:szCs w:val="20"/>
                <w:highlight w:val="none"/>
              </w:rPr>
            </w:pPr>
          </w:p>
        </w:tc>
        <w:tc>
          <w:tcPr>
            <w:tcW w:w="1135" w:type="dxa"/>
            <w:shd w:val="clear" w:color="auto" w:fill="auto"/>
            <w:vAlign w:val="center"/>
          </w:tcPr>
          <w:p w14:paraId="1147BF20">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资金</w:t>
            </w:r>
          </w:p>
          <w:p w14:paraId="3F4C4D59">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投入</w:t>
            </w:r>
          </w:p>
          <w:p w14:paraId="456F7681">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（25%）</w:t>
            </w:r>
          </w:p>
        </w:tc>
        <w:tc>
          <w:tcPr>
            <w:tcW w:w="796" w:type="dxa"/>
            <w:tcBorders>
              <w:top w:val="nil"/>
              <w:left w:val="single" w:color="auto" w:sz="4" w:space="0"/>
              <w:bottom w:val="single" w:color="auto" w:sz="4" w:space="0"/>
              <w:right w:val="single" w:color="auto" w:sz="4" w:space="0"/>
            </w:tcBorders>
            <w:shd w:val="clear" w:color="auto" w:fill="auto"/>
            <w:vAlign w:val="center"/>
          </w:tcPr>
          <w:p w14:paraId="3D6366E2">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21</w:t>
            </w:r>
          </w:p>
        </w:tc>
        <w:tc>
          <w:tcPr>
            <w:tcW w:w="4536" w:type="dxa"/>
            <w:shd w:val="clear" w:color="auto" w:fill="auto"/>
            <w:vAlign w:val="center"/>
          </w:tcPr>
          <w:p w14:paraId="597A7FF4">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企业上年度数字化投入占营业收入的比重</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单选</w:t>
            </w:r>
            <w:r>
              <w:rPr>
                <w:rFonts w:hint="eastAsia" w:ascii="仿宋_GB2312" w:hAnsi="仿宋_GB2312" w:eastAsia="仿宋_GB2312" w:cs="仿宋_GB2312"/>
                <w:color w:val="auto"/>
                <w:kern w:val="0"/>
                <w:sz w:val="24"/>
                <w:szCs w:val="20"/>
                <w:highlight w:val="none"/>
              </w:rPr>
              <w:t>）</w:t>
            </w:r>
          </w:p>
          <w:p w14:paraId="46E0B23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□小于1% </w:t>
            </w:r>
          </w:p>
          <w:p w14:paraId="105B6A10">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□[1%,2%) </w:t>
            </w:r>
          </w:p>
          <w:p w14:paraId="286D2FD4">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□[2%,3%) </w:t>
            </w:r>
          </w:p>
          <w:p w14:paraId="209C6BE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□[3%,5%] </w:t>
            </w:r>
          </w:p>
          <w:p w14:paraId="015A8D35">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□大于5%</w:t>
            </w:r>
          </w:p>
        </w:tc>
        <w:tc>
          <w:tcPr>
            <w:tcW w:w="1984" w:type="dxa"/>
            <w:shd w:val="clear" w:color="auto" w:fill="auto"/>
            <w:vAlign w:val="center"/>
          </w:tcPr>
          <w:p w14:paraId="6F213F24">
            <w:pPr>
              <w:snapToGrid w:val="0"/>
              <w:spacing w:line="240" w:lineRule="atLeast"/>
              <w:contextualSpacing/>
              <w:rPr>
                <w:rFonts w:ascii="仿宋_GB2312" w:hAnsi="仿宋_GB2312" w:eastAsia="仿宋_GB2312" w:cs="仿宋_GB2312"/>
                <w:color w:val="auto"/>
                <w:kern w:val="0"/>
                <w:sz w:val="24"/>
                <w:szCs w:val="20"/>
                <w:highlight w:val="none"/>
              </w:rPr>
            </w:pPr>
          </w:p>
        </w:tc>
      </w:tr>
      <w:tr w14:paraId="4831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tcBorders>
              <w:top w:val="single" w:color="auto" w:sz="4" w:space="0"/>
            </w:tcBorders>
            <w:vAlign w:val="center"/>
          </w:tcPr>
          <w:p w14:paraId="6947BF85">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四、</w:t>
            </w:r>
          </w:p>
          <w:p w14:paraId="3F0240E5">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数字化成效</w:t>
            </w:r>
          </w:p>
          <w:p w14:paraId="11EECBE8">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（10%）</w:t>
            </w:r>
          </w:p>
        </w:tc>
        <w:tc>
          <w:tcPr>
            <w:tcW w:w="1135" w:type="dxa"/>
            <w:tcBorders>
              <w:top w:val="single" w:color="auto" w:sz="4" w:space="0"/>
            </w:tcBorders>
            <w:shd w:val="clear" w:color="auto" w:fill="auto"/>
            <w:vAlign w:val="center"/>
          </w:tcPr>
          <w:p w14:paraId="73D6DB55">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产品</w:t>
            </w:r>
          </w:p>
          <w:p w14:paraId="320F740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质量</w:t>
            </w:r>
          </w:p>
          <w:p w14:paraId="4F7E5F2B">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（30%）</w:t>
            </w:r>
          </w:p>
        </w:tc>
        <w:tc>
          <w:tcPr>
            <w:tcW w:w="796" w:type="dxa"/>
            <w:tcBorders>
              <w:top w:val="nil"/>
              <w:left w:val="single" w:color="auto" w:sz="4" w:space="0"/>
              <w:bottom w:val="single" w:color="auto" w:sz="4" w:space="0"/>
              <w:right w:val="single" w:color="auto" w:sz="4" w:space="0"/>
            </w:tcBorders>
            <w:shd w:val="clear" w:color="auto" w:fill="auto"/>
            <w:vAlign w:val="center"/>
          </w:tcPr>
          <w:p w14:paraId="2CDB1BCE">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22</w:t>
            </w:r>
          </w:p>
        </w:tc>
        <w:tc>
          <w:tcPr>
            <w:tcW w:w="4536" w:type="dxa"/>
            <w:tcBorders>
              <w:top w:val="single" w:color="auto" w:sz="4" w:space="0"/>
            </w:tcBorders>
            <w:shd w:val="clear" w:color="auto" w:fill="auto"/>
            <w:vAlign w:val="center"/>
          </w:tcPr>
          <w:p w14:paraId="3BD0F00B">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企业上年度产品合格率</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单选</w:t>
            </w:r>
            <w:r>
              <w:rPr>
                <w:rFonts w:hint="eastAsia" w:ascii="仿宋_GB2312" w:hAnsi="仿宋_GB2312" w:eastAsia="仿宋_GB2312" w:cs="仿宋_GB2312"/>
                <w:color w:val="auto"/>
                <w:kern w:val="0"/>
                <w:sz w:val="24"/>
                <w:szCs w:val="20"/>
                <w:highlight w:val="none"/>
              </w:rPr>
              <w:t>）</w:t>
            </w:r>
          </w:p>
          <w:p w14:paraId="0B8CAE0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□明显低于行业平均水平 </w:t>
            </w:r>
          </w:p>
          <w:p w14:paraId="6510DAB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□略低于行业平均水平 </w:t>
            </w:r>
          </w:p>
          <w:p w14:paraId="2FA9552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□与行业平均水平相当 </w:t>
            </w:r>
          </w:p>
          <w:p w14:paraId="1F3C2AA8">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□略高于行业平均水平 </w:t>
            </w:r>
          </w:p>
          <w:p w14:paraId="3394DE9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□明显高于行业平均水平</w:t>
            </w:r>
          </w:p>
          <w:p w14:paraId="08FC1309">
            <w:pPr>
              <w:snapToGrid w:val="0"/>
              <w:spacing w:line="240" w:lineRule="atLeast"/>
              <w:contextualSpacing/>
              <w:rPr>
                <w:rFonts w:ascii="仿宋_GB2312" w:hAnsi="仿宋_GB2312" w:eastAsia="仿宋_GB2312" w:cs="仿宋_GB2312"/>
                <w:color w:val="auto"/>
                <w:kern w:val="0"/>
                <w:sz w:val="24"/>
                <w:szCs w:val="20"/>
                <w:highlight w:val="none"/>
              </w:rPr>
            </w:pPr>
          </w:p>
          <w:p w14:paraId="4E980946">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具体数值为[      ]</w:t>
            </w:r>
          </w:p>
        </w:tc>
        <w:tc>
          <w:tcPr>
            <w:tcW w:w="1984" w:type="dxa"/>
            <w:tcBorders>
              <w:top w:val="single" w:color="auto" w:sz="4" w:space="0"/>
            </w:tcBorders>
            <w:shd w:val="clear" w:color="auto" w:fill="auto"/>
            <w:vAlign w:val="center"/>
          </w:tcPr>
          <w:p w14:paraId="5A6D08B9">
            <w:pPr>
              <w:snapToGrid w:val="0"/>
              <w:spacing w:line="240" w:lineRule="atLeast"/>
              <w:contextualSpacing/>
              <w:rPr>
                <w:rFonts w:ascii="仿宋_GB2312" w:hAnsi="仿宋_GB2312" w:eastAsia="仿宋_GB2312" w:cs="仿宋_GB2312"/>
                <w:color w:val="auto"/>
                <w:kern w:val="0"/>
                <w:sz w:val="24"/>
                <w:szCs w:val="20"/>
                <w:highlight w:val="none"/>
              </w:rPr>
            </w:pPr>
          </w:p>
        </w:tc>
      </w:tr>
      <w:tr w14:paraId="499B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Borders>
              <w:top w:val="single" w:color="auto" w:sz="4" w:space="0"/>
              <w:bottom w:val="single" w:color="auto" w:sz="4" w:space="0"/>
            </w:tcBorders>
            <w:vAlign w:val="center"/>
          </w:tcPr>
          <w:p w14:paraId="7F68093F">
            <w:pPr>
              <w:snapToGrid w:val="0"/>
              <w:spacing w:line="240" w:lineRule="atLeast"/>
              <w:contextualSpacing/>
              <w:rPr>
                <w:rFonts w:ascii="仿宋_GB2312" w:hAnsi="仿宋_GB2312" w:eastAsia="仿宋_GB2312" w:cs="仿宋_GB2312"/>
                <w:color w:val="auto"/>
                <w:kern w:val="0"/>
                <w:sz w:val="24"/>
                <w:szCs w:val="20"/>
                <w:highlight w:val="none"/>
              </w:rPr>
            </w:pPr>
          </w:p>
        </w:tc>
        <w:tc>
          <w:tcPr>
            <w:tcW w:w="1135" w:type="dxa"/>
            <w:tcBorders>
              <w:top w:val="single" w:color="auto" w:sz="4" w:space="0"/>
              <w:bottom w:val="single" w:color="auto" w:sz="4" w:space="0"/>
            </w:tcBorders>
            <w:shd w:val="clear" w:color="auto" w:fill="auto"/>
            <w:vAlign w:val="center"/>
          </w:tcPr>
          <w:p w14:paraId="19C9A6B5">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生产</w:t>
            </w:r>
          </w:p>
          <w:p w14:paraId="251B37CA">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效率</w:t>
            </w:r>
          </w:p>
          <w:p w14:paraId="6F07F606">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（40%）</w:t>
            </w:r>
          </w:p>
        </w:tc>
        <w:tc>
          <w:tcPr>
            <w:tcW w:w="796" w:type="dxa"/>
            <w:tcBorders>
              <w:top w:val="nil"/>
              <w:left w:val="single" w:color="auto" w:sz="4" w:space="0"/>
              <w:bottom w:val="single" w:color="auto" w:sz="4" w:space="0"/>
              <w:right w:val="single" w:color="auto" w:sz="4" w:space="0"/>
            </w:tcBorders>
            <w:shd w:val="clear" w:color="auto" w:fill="auto"/>
            <w:vAlign w:val="center"/>
          </w:tcPr>
          <w:p w14:paraId="5269FDFA">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23</w:t>
            </w:r>
          </w:p>
        </w:tc>
        <w:tc>
          <w:tcPr>
            <w:tcW w:w="4536" w:type="dxa"/>
            <w:tcBorders>
              <w:top w:val="single" w:color="auto" w:sz="4" w:space="0"/>
              <w:bottom w:val="single" w:color="auto" w:sz="4" w:space="0"/>
            </w:tcBorders>
            <w:shd w:val="clear" w:color="auto" w:fill="auto"/>
            <w:vAlign w:val="center"/>
          </w:tcPr>
          <w:p w14:paraId="001097A5">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企业上年度人均营业收入</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单选</w:t>
            </w:r>
            <w:r>
              <w:rPr>
                <w:rFonts w:hint="eastAsia" w:ascii="仿宋_GB2312" w:hAnsi="仿宋_GB2312" w:eastAsia="仿宋_GB2312" w:cs="仿宋_GB2312"/>
                <w:color w:val="auto"/>
                <w:kern w:val="0"/>
                <w:sz w:val="24"/>
                <w:szCs w:val="20"/>
                <w:highlight w:val="none"/>
              </w:rPr>
              <w:t>）</w:t>
            </w:r>
          </w:p>
          <w:p w14:paraId="36C40BD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□明显低于行业平均水平 </w:t>
            </w:r>
          </w:p>
          <w:p w14:paraId="504B02F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□略低于行业平均水平 </w:t>
            </w:r>
          </w:p>
          <w:p w14:paraId="2CCE106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□与行业平均水平相当 </w:t>
            </w:r>
          </w:p>
          <w:p w14:paraId="15D676F0">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□略高于行业平均水平 </w:t>
            </w:r>
          </w:p>
          <w:p w14:paraId="6CB1A707">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□明显高于行业平均水平</w:t>
            </w:r>
          </w:p>
          <w:p w14:paraId="22AD0FE7">
            <w:pPr>
              <w:snapToGrid w:val="0"/>
              <w:spacing w:line="240" w:lineRule="atLeast"/>
              <w:contextualSpacing/>
              <w:rPr>
                <w:rFonts w:ascii="仿宋_GB2312" w:hAnsi="仿宋_GB2312" w:eastAsia="仿宋_GB2312" w:cs="仿宋_GB2312"/>
                <w:color w:val="auto"/>
                <w:kern w:val="0"/>
                <w:sz w:val="24"/>
                <w:szCs w:val="20"/>
                <w:highlight w:val="none"/>
              </w:rPr>
            </w:pPr>
          </w:p>
          <w:p w14:paraId="64875AC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具体数值为[      ]</w:t>
            </w:r>
          </w:p>
        </w:tc>
        <w:tc>
          <w:tcPr>
            <w:tcW w:w="1984" w:type="dxa"/>
            <w:tcBorders>
              <w:top w:val="single" w:color="auto" w:sz="4" w:space="0"/>
              <w:bottom w:val="single" w:color="auto" w:sz="4" w:space="0"/>
            </w:tcBorders>
            <w:shd w:val="clear" w:color="auto" w:fill="auto"/>
            <w:vAlign w:val="center"/>
          </w:tcPr>
          <w:p w14:paraId="76D56D0C">
            <w:pPr>
              <w:snapToGrid w:val="0"/>
              <w:spacing w:line="240" w:lineRule="atLeast"/>
              <w:contextualSpacing/>
              <w:rPr>
                <w:rFonts w:ascii="仿宋_GB2312" w:hAnsi="仿宋_GB2312" w:eastAsia="仿宋_GB2312" w:cs="仿宋_GB2312"/>
                <w:color w:val="auto"/>
                <w:kern w:val="0"/>
                <w:sz w:val="24"/>
                <w:szCs w:val="20"/>
                <w:highlight w:val="none"/>
              </w:rPr>
            </w:pPr>
          </w:p>
        </w:tc>
      </w:tr>
      <w:tr w14:paraId="3909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Borders>
              <w:top w:val="single" w:color="auto" w:sz="4" w:space="0"/>
              <w:bottom w:val="single" w:color="auto" w:sz="4" w:space="0"/>
            </w:tcBorders>
            <w:vAlign w:val="center"/>
          </w:tcPr>
          <w:p w14:paraId="777898DE">
            <w:pPr>
              <w:snapToGrid w:val="0"/>
              <w:spacing w:line="240" w:lineRule="atLeast"/>
              <w:contextualSpacing/>
              <w:rPr>
                <w:rFonts w:ascii="仿宋_GB2312" w:hAnsi="仿宋_GB2312" w:eastAsia="仿宋_GB2312" w:cs="仿宋_GB2312"/>
                <w:color w:val="auto"/>
                <w:kern w:val="0"/>
                <w:sz w:val="24"/>
                <w:szCs w:val="20"/>
                <w:highlight w:val="none"/>
              </w:rPr>
            </w:pPr>
          </w:p>
        </w:tc>
        <w:tc>
          <w:tcPr>
            <w:tcW w:w="1135" w:type="dxa"/>
            <w:tcBorders>
              <w:top w:val="single" w:color="auto" w:sz="4" w:space="0"/>
              <w:bottom w:val="single" w:color="auto" w:sz="4" w:space="0"/>
            </w:tcBorders>
            <w:vAlign w:val="center"/>
          </w:tcPr>
          <w:p w14:paraId="6F008C96">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价值</w:t>
            </w:r>
          </w:p>
          <w:p w14:paraId="76482506">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效益</w:t>
            </w:r>
          </w:p>
          <w:p w14:paraId="4851645C">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（30%）</w:t>
            </w:r>
          </w:p>
        </w:tc>
        <w:tc>
          <w:tcPr>
            <w:tcW w:w="796" w:type="dxa"/>
            <w:tcBorders>
              <w:top w:val="nil"/>
              <w:left w:val="single" w:color="auto" w:sz="4" w:space="0"/>
              <w:bottom w:val="single" w:color="auto" w:sz="4" w:space="0"/>
              <w:right w:val="single" w:color="auto" w:sz="4" w:space="0"/>
            </w:tcBorders>
            <w:shd w:val="clear" w:color="auto" w:fill="auto"/>
            <w:vAlign w:val="center"/>
          </w:tcPr>
          <w:p w14:paraId="5B055460">
            <w:pPr>
              <w:snapToGrid w:val="0"/>
              <w:spacing w:line="240" w:lineRule="atLeast"/>
              <w:contextualSpacing/>
              <w:jc w:val="center"/>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24</w:t>
            </w:r>
          </w:p>
        </w:tc>
        <w:tc>
          <w:tcPr>
            <w:tcW w:w="4536" w:type="dxa"/>
            <w:tcBorders>
              <w:top w:val="single" w:color="auto" w:sz="4" w:space="0"/>
              <w:bottom w:val="single" w:color="auto" w:sz="4" w:space="0"/>
            </w:tcBorders>
            <w:shd w:val="clear" w:color="auto" w:fill="auto"/>
            <w:vAlign w:val="center"/>
          </w:tcPr>
          <w:p w14:paraId="5DA05005">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企业上年度每百元营业收入中的成本</w:t>
            </w:r>
            <w:r>
              <w:rPr>
                <w:rFonts w:hint="eastAsia" w:ascii="仿宋_GB2312" w:hAnsi="仿宋_GB2312" w:eastAsia="仿宋_GB2312" w:cs="仿宋_GB2312"/>
                <w:color w:val="auto"/>
                <w:kern w:val="0"/>
                <w:sz w:val="24"/>
                <w:szCs w:val="20"/>
                <w:highlight w:val="none"/>
              </w:rPr>
              <w:t>（</w:t>
            </w:r>
            <w:r>
              <w:rPr>
                <w:rFonts w:ascii="仿宋_GB2312" w:hAnsi="仿宋_GB2312" w:eastAsia="仿宋_GB2312" w:cs="仿宋_GB2312"/>
                <w:color w:val="auto"/>
                <w:kern w:val="0"/>
                <w:sz w:val="24"/>
                <w:szCs w:val="20"/>
                <w:highlight w:val="none"/>
              </w:rPr>
              <w:t>单选</w:t>
            </w:r>
            <w:r>
              <w:rPr>
                <w:rFonts w:hint="eastAsia" w:ascii="仿宋_GB2312" w:hAnsi="仿宋_GB2312" w:eastAsia="仿宋_GB2312" w:cs="仿宋_GB2312"/>
                <w:color w:val="auto"/>
                <w:kern w:val="0"/>
                <w:sz w:val="24"/>
                <w:szCs w:val="20"/>
                <w:highlight w:val="none"/>
              </w:rPr>
              <w:t>）</w:t>
            </w:r>
          </w:p>
          <w:p w14:paraId="5DA3782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□明显低于行业平均水平 </w:t>
            </w:r>
          </w:p>
          <w:p w14:paraId="3D59CF91">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□略低于行业平均水平 </w:t>
            </w:r>
          </w:p>
          <w:p w14:paraId="1A5AB52E">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□与行业平均水平相当 </w:t>
            </w:r>
          </w:p>
          <w:p w14:paraId="2584C17D">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 xml:space="preserve">□略高于行业平均水平 </w:t>
            </w:r>
          </w:p>
          <w:p w14:paraId="34B295EF">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□明显高于行业平均水平</w:t>
            </w:r>
          </w:p>
          <w:p w14:paraId="421FAFA1">
            <w:pPr>
              <w:snapToGrid w:val="0"/>
              <w:spacing w:line="240" w:lineRule="atLeast"/>
              <w:contextualSpacing/>
              <w:rPr>
                <w:rFonts w:ascii="仿宋_GB2312" w:hAnsi="仿宋_GB2312" w:eastAsia="仿宋_GB2312" w:cs="仿宋_GB2312"/>
                <w:color w:val="auto"/>
                <w:kern w:val="0"/>
                <w:sz w:val="24"/>
                <w:szCs w:val="20"/>
                <w:highlight w:val="none"/>
              </w:rPr>
            </w:pPr>
          </w:p>
          <w:p w14:paraId="4DE49D23">
            <w:pPr>
              <w:snapToGrid w:val="0"/>
              <w:spacing w:line="240" w:lineRule="atLeast"/>
              <w:contextualSpacing/>
              <w:rPr>
                <w:rFonts w:ascii="仿宋_GB2312" w:hAnsi="仿宋_GB2312" w:eastAsia="仿宋_GB2312" w:cs="仿宋_GB2312"/>
                <w:color w:val="auto"/>
                <w:kern w:val="0"/>
                <w:sz w:val="24"/>
                <w:szCs w:val="20"/>
                <w:highlight w:val="none"/>
              </w:rPr>
            </w:pPr>
            <w:r>
              <w:rPr>
                <w:rFonts w:ascii="仿宋_GB2312" w:hAnsi="仿宋_GB2312" w:eastAsia="仿宋_GB2312" w:cs="仿宋_GB2312"/>
                <w:color w:val="auto"/>
                <w:kern w:val="0"/>
                <w:sz w:val="24"/>
                <w:szCs w:val="20"/>
                <w:highlight w:val="none"/>
              </w:rPr>
              <w:t>具体数值为[      ]</w:t>
            </w:r>
          </w:p>
        </w:tc>
        <w:tc>
          <w:tcPr>
            <w:tcW w:w="1984" w:type="dxa"/>
            <w:tcBorders>
              <w:top w:val="single" w:color="auto" w:sz="4" w:space="0"/>
              <w:bottom w:val="single" w:color="auto" w:sz="4" w:space="0"/>
            </w:tcBorders>
            <w:shd w:val="clear" w:color="auto" w:fill="auto"/>
            <w:vAlign w:val="center"/>
          </w:tcPr>
          <w:p w14:paraId="7E5410B9">
            <w:pPr>
              <w:snapToGrid w:val="0"/>
              <w:spacing w:line="240" w:lineRule="atLeast"/>
              <w:contextualSpacing/>
              <w:rPr>
                <w:rFonts w:ascii="仿宋_GB2312" w:hAnsi="仿宋_GB2312" w:eastAsia="仿宋_GB2312" w:cs="仿宋_GB2312"/>
                <w:color w:val="auto"/>
                <w:kern w:val="0"/>
                <w:sz w:val="24"/>
                <w:szCs w:val="20"/>
                <w:highlight w:val="none"/>
              </w:rPr>
            </w:pPr>
          </w:p>
        </w:tc>
      </w:tr>
    </w:tbl>
    <w:p w14:paraId="49A3C3E8">
      <w:pPr>
        <w:rPr>
          <w:rFonts w:ascii="黑体" w:hAnsi="宋体" w:eastAsia="黑体" w:cs="黑体"/>
          <w:b/>
          <w:bCs/>
          <w:color w:val="auto"/>
          <w:sz w:val="32"/>
          <w:szCs w:val="36"/>
          <w:highlight w:val="none"/>
        </w:rPr>
      </w:pPr>
    </w:p>
    <w:p w14:paraId="129A5B60">
      <w:pPr>
        <w:rPr>
          <w:rFonts w:ascii="黑体" w:hAnsi="宋体" w:eastAsia="黑体" w:cs="黑体"/>
          <w:b/>
          <w:bCs/>
          <w:color w:val="auto"/>
          <w:sz w:val="32"/>
          <w:szCs w:val="36"/>
          <w:highlight w:val="none"/>
        </w:rPr>
      </w:pPr>
    </w:p>
    <w:p w14:paraId="7386A7B2">
      <w:pPr>
        <w:rPr>
          <w:rFonts w:ascii="黑体" w:hAnsi="宋体" w:eastAsia="黑体" w:cs="黑体"/>
          <w:b/>
          <w:bCs/>
          <w:color w:val="auto"/>
          <w:sz w:val="32"/>
          <w:szCs w:val="36"/>
          <w:highlight w:val="none"/>
        </w:rPr>
      </w:pPr>
    </w:p>
    <w:p w14:paraId="79DFD23F">
      <w:pPr>
        <w:rPr>
          <w:rFonts w:ascii="黑体" w:hAnsi="宋体" w:eastAsia="黑体" w:cs="黑体"/>
          <w:b/>
          <w:bCs/>
          <w:color w:val="auto"/>
          <w:sz w:val="32"/>
          <w:szCs w:val="36"/>
          <w:highlight w:val="none"/>
        </w:rPr>
      </w:pPr>
    </w:p>
    <w:p w14:paraId="535109C4">
      <w:pPr>
        <w:rPr>
          <w:rFonts w:ascii="黑体" w:hAnsi="宋体" w:eastAsia="黑体" w:cs="黑体"/>
          <w:b/>
          <w:bCs/>
          <w:color w:val="auto"/>
          <w:sz w:val="32"/>
          <w:szCs w:val="36"/>
          <w:highlight w:val="none"/>
        </w:rPr>
      </w:pPr>
    </w:p>
    <w:p w14:paraId="31884FCE">
      <w:pPr>
        <w:rPr>
          <w:rFonts w:ascii="黑体" w:hAnsi="宋体" w:eastAsia="黑体" w:cs="黑体"/>
          <w:b/>
          <w:bCs/>
          <w:color w:val="auto"/>
          <w:sz w:val="32"/>
          <w:szCs w:val="36"/>
          <w:highlight w:val="none"/>
        </w:rPr>
      </w:pPr>
    </w:p>
    <w:p w14:paraId="45548A7A">
      <w:pPr>
        <w:rPr>
          <w:rFonts w:ascii="黑体" w:hAnsi="宋体" w:eastAsia="黑体" w:cs="黑体"/>
          <w:b/>
          <w:bCs/>
          <w:color w:val="auto"/>
          <w:sz w:val="32"/>
          <w:szCs w:val="36"/>
          <w:highlight w:val="none"/>
        </w:rPr>
      </w:pPr>
    </w:p>
    <w:p w14:paraId="6C9F293B">
      <w:pPr>
        <w:rPr>
          <w:rFonts w:ascii="黑体" w:hAnsi="宋体" w:eastAsia="黑体" w:cs="黑体"/>
          <w:b/>
          <w:bCs/>
          <w:color w:val="auto"/>
          <w:sz w:val="32"/>
          <w:szCs w:val="36"/>
          <w:highlight w:val="none"/>
        </w:rPr>
      </w:pPr>
    </w:p>
    <w:p w14:paraId="57BF15B2">
      <w:pPr>
        <w:rPr>
          <w:rFonts w:ascii="黑体" w:hAnsi="宋体" w:eastAsia="黑体" w:cs="黑体"/>
          <w:b/>
          <w:bCs/>
          <w:color w:val="auto"/>
          <w:sz w:val="32"/>
          <w:szCs w:val="36"/>
          <w:highlight w:val="none"/>
        </w:rPr>
      </w:pPr>
    </w:p>
    <w:p w14:paraId="1D971821">
      <w:pPr>
        <w:rPr>
          <w:rFonts w:ascii="黑体" w:hAnsi="宋体" w:eastAsia="黑体" w:cs="黑体"/>
          <w:b/>
          <w:bCs/>
          <w:color w:val="auto"/>
          <w:sz w:val="32"/>
          <w:szCs w:val="36"/>
          <w:highlight w:val="none"/>
        </w:rPr>
      </w:pPr>
    </w:p>
    <w:p w14:paraId="0DFBD78C">
      <w:pPr>
        <w:rPr>
          <w:rFonts w:ascii="黑体" w:hAnsi="宋体" w:eastAsia="黑体" w:cs="黑体"/>
          <w:b/>
          <w:bCs/>
          <w:color w:val="auto"/>
          <w:sz w:val="32"/>
          <w:szCs w:val="36"/>
          <w:highlight w:val="none"/>
        </w:rPr>
      </w:pPr>
    </w:p>
    <w:p w14:paraId="4C0C0DF4">
      <w:pPr>
        <w:rPr>
          <w:rFonts w:ascii="黑体" w:hAnsi="宋体" w:eastAsia="黑体" w:cs="黑体"/>
          <w:b/>
          <w:bCs/>
          <w:color w:val="auto"/>
          <w:sz w:val="32"/>
          <w:szCs w:val="36"/>
          <w:highlight w:val="none"/>
        </w:rPr>
      </w:pPr>
    </w:p>
    <w:p w14:paraId="4B452E8B">
      <w:pPr>
        <w:rPr>
          <w:rFonts w:ascii="黑体" w:hAnsi="宋体" w:eastAsia="黑体" w:cs="黑体"/>
          <w:b/>
          <w:bCs/>
          <w:color w:val="auto"/>
          <w:sz w:val="32"/>
          <w:szCs w:val="36"/>
          <w:highlight w:val="none"/>
        </w:rPr>
      </w:pPr>
    </w:p>
    <w:p w14:paraId="17773346">
      <w:pPr>
        <w:rPr>
          <w:rFonts w:ascii="黑体" w:hAnsi="宋体" w:eastAsia="黑体" w:cs="黑体"/>
          <w:b/>
          <w:bCs/>
          <w:color w:val="auto"/>
          <w:sz w:val="32"/>
          <w:szCs w:val="36"/>
          <w:highlight w:val="none"/>
        </w:rPr>
      </w:pPr>
    </w:p>
    <w:p w14:paraId="6FCD6D82">
      <w:pPr>
        <w:rPr>
          <w:rFonts w:ascii="黑体" w:hAnsi="宋体" w:eastAsia="黑体" w:cs="黑体"/>
          <w:b/>
          <w:bCs/>
          <w:color w:val="auto"/>
          <w:sz w:val="32"/>
          <w:szCs w:val="36"/>
          <w:highlight w:val="none"/>
        </w:rPr>
      </w:pPr>
    </w:p>
    <w:p w14:paraId="5C09511C">
      <w:pPr>
        <w:rPr>
          <w:rFonts w:ascii="黑体" w:hAnsi="宋体" w:eastAsia="黑体" w:cs="黑体"/>
          <w:color w:val="auto"/>
          <w:sz w:val="32"/>
          <w:szCs w:val="36"/>
          <w:highlight w:val="none"/>
        </w:rPr>
      </w:pPr>
      <w:r>
        <w:rPr>
          <w:rFonts w:hint="eastAsia" w:ascii="黑体" w:hAnsi="宋体" w:eastAsia="黑体" w:cs="黑体"/>
          <w:color w:val="auto"/>
          <w:sz w:val="32"/>
          <w:szCs w:val="36"/>
          <w:highlight w:val="none"/>
          <w:lang w:bidi="ar"/>
          <w14:ligatures w14:val="standardContextual"/>
        </w:rPr>
        <w:t>三、项目支出明细表</w:t>
      </w:r>
    </w:p>
    <w:p w14:paraId="2FFE6C92">
      <w:pPr>
        <w:jc w:val="center"/>
        <w:rPr>
          <w:rFonts w:ascii="仿宋_GB2312" w:hAnsi="宋体" w:eastAsia="仿宋_GB2312" w:cs="仿宋_GB2312"/>
          <w:b/>
          <w:bCs/>
          <w:color w:val="auto"/>
          <w:sz w:val="32"/>
          <w:szCs w:val="36"/>
          <w:highlight w:val="none"/>
        </w:rPr>
      </w:pPr>
      <w:r>
        <w:rPr>
          <w:rFonts w:hint="eastAsia" w:ascii="仿宋_GB2312" w:hAnsi="宋体" w:eastAsia="仿宋_GB2312" w:cs="仿宋_GB2312"/>
          <w:b/>
          <w:bCs/>
          <w:color w:val="auto"/>
          <w:sz w:val="32"/>
          <w:szCs w:val="36"/>
          <w:highlight w:val="none"/>
          <w:lang w:bidi="ar"/>
          <w14:ligatures w14:val="standardContextual"/>
        </w:rPr>
        <w:t>项目支出明细表</w:t>
      </w:r>
    </w:p>
    <w:tbl>
      <w:tblPr>
        <w:tblStyle w:val="8"/>
        <w:tblW w:w="106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0"/>
        <w:gridCol w:w="2160"/>
        <w:gridCol w:w="1878"/>
        <w:gridCol w:w="1247"/>
        <w:gridCol w:w="745"/>
        <w:gridCol w:w="1500"/>
        <w:gridCol w:w="2064"/>
      </w:tblGrid>
      <w:tr w14:paraId="1A750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85DD">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序号</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19D6C32A">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支出具体内容</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470C1973">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型号或规格</w:t>
            </w:r>
          </w:p>
          <w:p w14:paraId="50141E82">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（若无，可不填写）</w:t>
            </w: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61A3CECF">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单价（万元）</w:t>
            </w:r>
          </w:p>
        </w:tc>
        <w:tc>
          <w:tcPr>
            <w:tcW w:w="745" w:type="dxa"/>
            <w:tcBorders>
              <w:top w:val="single" w:color="000000" w:sz="4" w:space="0"/>
              <w:left w:val="nil"/>
              <w:bottom w:val="single" w:color="000000" w:sz="4" w:space="0"/>
              <w:right w:val="single" w:color="auto" w:sz="4" w:space="0"/>
            </w:tcBorders>
            <w:shd w:val="clear" w:color="auto" w:fill="auto"/>
            <w:noWrap/>
            <w:vAlign w:val="center"/>
          </w:tcPr>
          <w:p w14:paraId="2AAD4B33">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数量</w:t>
            </w: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2F101C40">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总额（万元）</w:t>
            </w: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4171323C">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供应商名称</w:t>
            </w:r>
          </w:p>
        </w:tc>
      </w:tr>
      <w:tr w14:paraId="0048E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910D">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（一）</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62E57A2D">
            <w:pPr>
              <w:spacing w:line="280" w:lineRule="exact"/>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软件</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2F902645">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46C11F14">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auto" w:sz="4" w:space="0"/>
            </w:tcBorders>
            <w:shd w:val="clear" w:color="auto" w:fill="auto"/>
            <w:noWrap/>
            <w:vAlign w:val="center"/>
          </w:tcPr>
          <w:p w14:paraId="5AE2E7FD">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394E5AEF">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136C6EA9">
            <w:pPr>
              <w:spacing w:line="280" w:lineRule="exact"/>
              <w:jc w:val="center"/>
              <w:rPr>
                <w:rFonts w:ascii="Times New Roman" w:hAnsi="Times New Roman" w:eastAsia="仿宋_GB2312" w:cs="Times New Roman"/>
                <w:b/>
                <w:bCs/>
                <w:color w:val="auto"/>
                <w:sz w:val="24"/>
                <w:szCs w:val="24"/>
                <w:highlight w:val="none"/>
              </w:rPr>
            </w:pPr>
          </w:p>
        </w:tc>
      </w:tr>
      <w:tr w14:paraId="28B1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A0B4">
            <w:pPr>
              <w:spacing w:line="280" w:lineRule="exact"/>
              <w:jc w:val="center"/>
              <w:rPr>
                <w:rFonts w:ascii="Times New Roman" w:hAnsi="Times New Roman" w:eastAsia="仿宋_GB2312" w:cs="Times New Roman"/>
                <w:b/>
                <w:bCs/>
                <w:color w:val="auto"/>
                <w:sz w:val="24"/>
                <w:szCs w:val="24"/>
                <w:highlight w:val="none"/>
              </w:rPr>
            </w:pPr>
            <w:r>
              <w:rPr>
                <w:rFonts w:ascii="Times New Roman" w:hAnsi="Times New Roman" w:eastAsia="仿宋_GB2312" w:cs="Times New Roman"/>
                <w:b/>
                <w:bCs/>
                <w:color w:val="auto"/>
                <w:sz w:val="24"/>
                <w:szCs w:val="24"/>
                <w:highlight w:val="none"/>
                <w:lang w:bidi="ar"/>
                <w14:ligatures w14:val="standardContextual"/>
              </w:rPr>
              <w:t>1</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5236AFD7">
            <w:pPr>
              <w:spacing w:line="280" w:lineRule="exact"/>
              <w:jc w:val="center"/>
              <w:rPr>
                <w:rFonts w:ascii="Times New Roman" w:hAnsi="Times New Roman" w:eastAsia="仿宋_GB2312" w:cs="Times New Roman"/>
                <w:b/>
                <w:bCs/>
                <w:color w:val="auto"/>
                <w:sz w:val="24"/>
                <w:szCs w:val="24"/>
                <w:highlight w:val="none"/>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3036A225">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3D97B5D5">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auto" w:sz="4" w:space="0"/>
            </w:tcBorders>
            <w:shd w:val="clear" w:color="auto" w:fill="auto"/>
            <w:noWrap/>
            <w:vAlign w:val="center"/>
          </w:tcPr>
          <w:p w14:paraId="73010E1D">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452917A8">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75BA975C">
            <w:pPr>
              <w:spacing w:line="280" w:lineRule="exact"/>
              <w:jc w:val="center"/>
              <w:rPr>
                <w:rFonts w:ascii="Times New Roman" w:hAnsi="Times New Roman" w:eastAsia="仿宋_GB2312" w:cs="Times New Roman"/>
                <w:b/>
                <w:bCs/>
                <w:color w:val="auto"/>
                <w:sz w:val="24"/>
                <w:szCs w:val="24"/>
                <w:highlight w:val="none"/>
              </w:rPr>
            </w:pPr>
          </w:p>
        </w:tc>
      </w:tr>
      <w:tr w14:paraId="66F8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68AA">
            <w:pPr>
              <w:spacing w:line="280" w:lineRule="exact"/>
              <w:jc w:val="center"/>
              <w:rPr>
                <w:rFonts w:ascii="Times New Roman" w:hAnsi="Times New Roman" w:eastAsia="仿宋_GB2312" w:cs="Times New Roman"/>
                <w:b/>
                <w:bCs/>
                <w:color w:val="auto"/>
                <w:sz w:val="24"/>
                <w:szCs w:val="24"/>
                <w:highlight w:val="none"/>
              </w:rPr>
            </w:pPr>
            <w:r>
              <w:rPr>
                <w:rFonts w:ascii="Times New Roman" w:hAnsi="Times New Roman" w:eastAsia="仿宋_GB2312" w:cs="Times New Roman"/>
                <w:b/>
                <w:bCs/>
                <w:color w:val="auto"/>
                <w:sz w:val="24"/>
                <w:szCs w:val="24"/>
                <w:highlight w:val="none"/>
                <w:lang w:bidi="ar"/>
                <w14:ligatures w14:val="standardContextual"/>
              </w:rPr>
              <w:t>2</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674025B2">
            <w:pPr>
              <w:spacing w:line="280" w:lineRule="exact"/>
              <w:jc w:val="center"/>
              <w:rPr>
                <w:rFonts w:ascii="Times New Roman" w:hAnsi="Times New Roman" w:eastAsia="仿宋_GB2312" w:cs="Times New Roman"/>
                <w:b/>
                <w:bCs/>
                <w:color w:val="auto"/>
                <w:sz w:val="24"/>
                <w:szCs w:val="24"/>
                <w:highlight w:val="none"/>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003A1CF3">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3DA4FF42">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auto" w:sz="4" w:space="0"/>
            </w:tcBorders>
            <w:shd w:val="clear" w:color="auto" w:fill="auto"/>
            <w:noWrap/>
            <w:vAlign w:val="center"/>
          </w:tcPr>
          <w:p w14:paraId="7463A5B7">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052F117C">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4EB14E63">
            <w:pPr>
              <w:spacing w:line="280" w:lineRule="exact"/>
              <w:jc w:val="center"/>
              <w:rPr>
                <w:rFonts w:ascii="Times New Roman" w:hAnsi="Times New Roman" w:eastAsia="仿宋_GB2312" w:cs="Times New Roman"/>
                <w:b/>
                <w:bCs/>
                <w:color w:val="auto"/>
                <w:sz w:val="24"/>
                <w:szCs w:val="24"/>
                <w:highlight w:val="none"/>
              </w:rPr>
            </w:pPr>
          </w:p>
        </w:tc>
      </w:tr>
      <w:tr w14:paraId="4C910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5B8">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297EE10D">
            <w:pPr>
              <w:spacing w:line="280" w:lineRule="exact"/>
              <w:jc w:val="center"/>
              <w:rPr>
                <w:rFonts w:ascii="Times New Roman" w:hAnsi="Times New Roman" w:eastAsia="仿宋_GB2312" w:cs="Times New Roman"/>
                <w:b/>
                <w:bCs/>
                <w:color w:val="auto"/>
                <w:sz w:val="24"/>
                <w:szCs w:val="24"/>
                <w:highlight w:val="none"/>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24BEEF17">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5F81DB77">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7B99AB2A">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7F1100E4">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17305308">
            <w:pPr>
              <w:spacing w:line="280" w:lineRule="exact"/>
              <w:jc w:val="center"/>
              <w:rPr>
                <w:rFonts w:ascii="Times New Roman" w:hAnsi="Times New Roman" w:eastAsia="仿宋_GB2312" w:cs="Times New Roman"/>
                <w:b/>
                <w:bCs/>
                <w:color w:val="auto"/>
                <w:sz w:val="24"/>
                <w:szCs w:val="24"/>
                <w:highlight w:val="none"/>
              </w:rPr>
            </w:pPr>
          </w:p>
        </w:tc>
      </w:tr>
      <w:tr w14:paraId="592B3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353B">
            <w:pPr>
              <w:spacing w:line="280" w:lineRule="exact"/>
              <w:jc w:val="center"/>
              <w:rPr>
                <w:rFonts w:ascii="Times New Roman" w:hAnsi="Times New Roman" w:eastAsia="仿宋_GB2312" w:cs="Times New Roman"/>
                <w:b/>
                <w:bCs/>
                <w:color w:val="auto"/>
                <w:sz w:val="24"/>
                <w:szCs w:val="24"/>
                <w:highlight w:val="none"/>
              </w:rPr>
            </w:pP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16242228">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小</w:t>
            </w:r>
            <w:r>
              <w:rPr>
                <w:rFonts w:ascii="Times New Roman" w:hAnsi="Times New Roman" w:eastAsia="仿宋_GB2312" w:cs="Times New Roman"/>
                <w:b/>
                <w:bCs/>
                <w:color w:val="auto"/>
                <w:sz w:val="24"/>
                <w:szCs w:val="24"/>
                <w:highlight w:val="none"/>
                <w:lang w:bidi="ar"/>
                <w14:ligatures w14:val="standardContextual"/>
              </w:rPr>
              <w:t xml:space="preserve">  </w:t>
            </w:r>
            <w:r>
              <w:rPr>
                <w:rFonts w:hint="eastAsia" w:ascii="Times New Roman" w:hAnsi="Times New Roman" w:eastAsia="仿宋_GB2312" w:cs="Times New Roman"/>
                <w:b/>
                <w:bCs/>
                <w:color w:val="auto"/>
                <w:sz w:val="24"/>
                <w:szCs w:val="24"/>
                <w:highlight w:val="none"/>
                <w:lang w:bidi="ar"/>
                <w14:ligatures w14:val="standardContextual"/>
              </w:rPr>
              <w:t>计</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30A08951">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13274C5F">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0A257874">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1CD42241">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18C620EC">
            <w:pPr>
              <w:spacing w:line="280" w:lineRule="exact"/>
              <w:jc w:val="center"/>
              <w:rPr>
                <w:rFonts w:ascii="Times New Roman" w:hAnsi="Times New Roman" w:eastAsia="仿宋_GB2312" w:cs="Times New Roman"/>
                <w:b/>
                <w:bCs/>
                <w:color w:val="auto"/>
                <w:sz w:val="24"/>
                <w:szCs w:val="24"/>
                <w:highlight w:val="none"/>
              </w:rPr>
            </w:pPr>
          </w:p>
        </w:tc>
      </w:tr>
      <w:tr w14:paraId="45DB4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FF8A">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（二）</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52F5330F">
            <w:pPr>
              <w:spacing w:line="280" w:lineRule="exact"/>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云服务</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058886AE">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09343298">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7D0C7BA6">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00AA0C1D">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65811F84">
            <w:pPr>
              <w:spacing w:line="280" w:lineRule="exact"/>
              <w:jc w:val="center"/>
              <w:rPr>
                <w:rFonts w:ascii="Times New Roman" w:hAnsi="Times New Roman" w:eastAsia="仿宋_GB2312" w:cs="Times New Roman"/>
                <w:b/>
                <w:bCs/>
                <w:color w:val="auto"/>
                <w:sz w:val="24"/>
                <w:szCs w:val="24"/>
                <w:highlight w:val="none"/>
              </w:rPr>
            </w:pPr>
          </w:p>
        </w:tc>
      </w:tr>
      <w:tr w14:paraId="0AB8F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9B99">
            <w:pPr>
              <w:spacing w:line="280" w:lineRule="exact"/>
              <w:jc w:val="center"/>
              <w:rPr>
                <w:rFonts w:ascii="Times New Roman" w:hAnsi="Times New Roman" w:eastAsia="仿宋_GB2312" w:cs="Times New Roman"/>
                <w:b/>
                <w:bCs/>
                <w:color w:val="auto"/>
                <w:sz w:val="24"/>
                <w:szCs w:val="24"/>
                <w:highlight w:val="none"/>
              </w:rPr>
            </w:pPr>
            <w:r>
              <w:rPr>
                <w:rFonts w:ascii="Times New Roman" w:hAnsi="Times New Roman" w:eastAsia="仿宋_GB2312" w:cs="Times New Roman"/>
                <w:b/>
                <w:bCs/>
                <w:color w:val="auto"/>
                <w:sz w:val="24"/>
                <w:szCs w:val="24"/>
                <w:highlight w:val="none"/>
                <w:lang w:bidi="ar"/>
                <w14:ligatures w14:val="standardContextual"/>
              </w:rPr>
              <w:t>1</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7C1A0FEE">
            <w:pPr>
              <w:spacing w:line="280" w:lineRule="exact"/>
              <w:jc w:val="center"/>
              <w:rPr>
                <w:rFonts w:ascii="Times New Roman" w:hAnsi="Times New Roman" w:eastAsia="仿宋_GB2312" w:cs="Times New Roman"/>
                <w:b/>
                <w:bCs/>
                <w:color w:val="auto"/>
                <w:sz w:val="24"/>
                <w:szCs w:val="24"/>
                <w:highlight w:val="none"/>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0BB36E89">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3D1BF612">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210EC755">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760C974C">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421DA44D">
            <w:pPr>
              <w:spacing w:line="280" w:lineRule="exact"/>
              <w:jc w:val="center"/>
              <w:rPr>
                <w:rFonts w:ascii="Times New Roman" w:hAnsi="Times New Roman" w:eastAsia="仿宋_GB2312" w:cs="Times New Roman"/>
                <w:b/>
                <w:bCs/>
                <w:color w:val="auto"/>
                <w:sz w:val="24"/>
                <w:szCs w:val="24"/>
                <w:highlight w:val="none"/>
              </w:rPr>
            </w:pPr>
          </w:p>
        </w:tc>
      </w:tr>
      <w:tr w14:paraId="77C3F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1AE8">
            <w:pPr>
              <w:spacing w:line="280" w:lineRule="exact"/>
              <w:jc w:val="center"/>
              <w:rPr>
                <w:rFonts w:ascii="Times New Roman" w:hAnsi="Times New Roman" w:eastAsia="仿宋_GB2312" w:cs="Times New Roman"/>
                <w:b/>
                <w:bCs/>
                <w:color w:val="auto"/>
                <w:sz w:val="24"/>
                <w:szCs w:val="24"/>
                <w:highlight w:val="none"/>
              </w:rPr>
            </w:pPr>
            <w:r>
              <w:rPr>
                <w:rFonts w:ascii="Times New Roman" w:hAnsi="Times New Roman" w:eastAsia="仿宋_GB2312" w:cs="Times New Roman"/>
                <w:b/>
                <w:bCs/>
                <w:color w:val="auto"/>
                <w:sz w:val="24"/>
                <w:szCs w:val="24"/>
                <w:highlight w:val="none"/>
                <w:lang w:bidi="ar"/>
                <w14:ligatures w14:val="standardContextual"/>
              </w:rPr>
              <w:t>2</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48526B31">
            <w:pPr>
              <w:spacing w:line="280" w:lineRule="exact"/>
              <w:jc w:val="center"/>
              <w:rPr>
                <w:rFonts w:ascii="Times New Roman" w:hAnsi="Times New Roman" w:eastAsia="仿宋_GB2312" w:cs="Times New Roman"/>
                <w:b/>
                <w:bCs/>
                <w:color w:val="auto"/>
                <w:sz w:val="24"/>
                <w:szCs w:val="24"/>
                <w:highlight w:val="none"/>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321DE768">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5DD83264">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5904D429">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29CADD9E">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76041ACA">
            <w:pPr>
              <w:spacing w:line="280" w:lineRule="exact"/>
              <w:jc w:val="center"/>
              <w:rPr>
                <w:rFonts w:ascii="Times New Roman" w:hAnsi="Times New Roman" w:eastAsia="仿宋_GB2312" w:cs="Times New Roman"/>
                <w:b/>
                <w:bCs/>
                <w:color w:val="auto"/>
                <w:sz w:val="24"/>
                <w:szCs w:val="24"/>
                <w:highlight w:val="none"/>
              </w:rPr>
            </w:pPr>
          </w:p>
        </w:tc>
      </w:tr>
      <w:tr w14:paraId="4856F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0D90">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655D3A1C">
            <w:pPr>
              <w:spacing w:line="280" w:lineRule="exact"/>
              <w:jc w:val="center"/>
              <w:rPr>
                <w:rFonts w:ascii="Times New Roman" w:hAnsi="Times New Roman" w:eastAsia="仿宋_GB2312" w:cs="Times New Roman"/>
                <w:b/>
                <w:bCs/>
                <w:color w:val="auto"/>
                <w:sz w:val="24"/>
                <w:szCs w:val="24"/>
                <w:highlight w:val="none"/>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145F92B7">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069FDEED">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3599101A">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1B95101F">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716AE6A7">
            <w:pPr>
              <w:spacing w:line="280" w:lineRule="exact"/>
              <w:jc w:val="center"/>
              <w:rPr>
                <w:rFonts w:ascii="Times New Roman" w:hAnsi="Times New Roman" w:eastAsia="仿宋_GB2312" w:cs="Times New Roman"/>
                <w:b/>
                <w:bCs/>
                <w:color w:val="auto"/>
                <w:sz w:val="24"/>
                <w:szCs w:val="24"/>
                <w:highlight w:val="none"/>
              </w:rPr>
            </w:pPr>
          </w:p>
        </w:tc>
      </w:tr>
      <w:tr w14:paraId="685A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45E8">
            <w:pPr>
              <w:spacing w:line="280" w:lineRule="exact"/>
              <w:jc w:val="center"/>
              <w:rPr>
                <w:rFonts w:ascii="Times New Roman" w:hAnsi="Times New Roman" w:eastAsia="仿宋_GB2312" w:cs="Times New Roman"/>
                <w:b/>
                <w:bCs/>
                <w:color w:val="auto"/>
                <w:sz w:val="24"/>
                <w:szCs w:val="24"/>
                <w:highlight w:val="none"/>
              </w:rPr>
            </w:pP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1F23F485">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小</w:t>
            </w:r>
            <w:r>
              <w:rPr>
                <w:rFonts w:ascii="Times New Roman" w:hAnsi="Times New Roman" w:eastAsia="仿宋_GB2312" w:cs="Times New Roman"/>
                <w:b/>
                <w:bCs/>
                <w:color w:val="auto"/>
                <w:sz w:val="24"/>
                <w:szCs w:val="24"/>
                <w:highlight w:val="none"/>
                <w:lang w:bidi="ar"/>
                <w14:ligatures w14:val="standardContextual"/>
              </w:rPr>
              <w:t xml:space="preserve">  </w:t>
            </w:r>
            <w:r>
              <w:rPr>
                <w:rFonts w:hint="eastAsia" w:ascii="Times New Roman" w:hAnsi="Times New Roman" w:eastAsia="仿宋_GB2312" w:cs="Times New Roman"/>
                <w:b/>
                <w:bCs/>
                <w:color w:val="auto"/>
                <w:sz w:val="24"/>
                <w:szCs w:val="24"/>
                <w:highlight w:val="none"/>
                <w:lang w:bidi="ar"/>
                <w14:ligatures w14:val="standardContextual"/>
              </w:rPr>
              <w:t>计</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461621CF">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6CAC1466">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6AAD8B41">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00C25F16">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2482F84D">
            <w:pPr>
              <w:spacing w:line="280" w:lineRule="exact"/>
              <w:jc w:val="center"/>
              <w:rPr>
                <w:rFonts w:ascii="Times New Roman" w:hAnsi="Times New Roman" w:eastAsia="仿宋_GB2312" w:cs="Times New Roman"/>
                <w:b/>
                <w:bCs/>
                <w:color w:val="auto"/>
                <w:sz w:val="24"/>
                <w:szCs w:val="24"/>
                <w:highlight w:val="none"/>
              </w:rPr>
            </w:pPr>
          </w:p>
        </w:tc>
      </w:tr>
      <w:tr w14:paraId="23BBB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253C">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（三）</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52D3990E">
            <w:pPr>
              <w:spacing w:line="280" w:lineRule="exact"/>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数据采集传输设备</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6BE95FC6">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1B56993E">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713AE3C2">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0B5F6AA8">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5200BB85">
            <w:pPr>
              <w:spacing w:line="280" w:lineRule="exact"/>
              <w:jc w:val="center"/>
              <w:rPr>
                <w:rFonts w:ascii="Times New Roman" w:hAnsi="Times New Roman" w:eastAsia="仿宋_GB2312" w:cs="Times New Roman"/>
                <w:b/>
                <w:bCs/>
                <w:color w:val="auto"/>
                <w:sz w:val="24"/>
                <w:szCs w:val="24"/>
                <w:highlight w:val="none"/>
              </w:rPr>
            </w:pPr>
          </w:p>
        </w:tc>
      </w:tr>
      <w:tr w14:paraId="56806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8735">
            <w:pPr>
              <w:spacing w:line="280" w:lineRule="exact"/>
              <w:jc w:val="center"/>
              <w:rPr>
                <w:rFonts w:ascii="Times New Roman" w:hAnsi="Times New Roman" w:eastAsia="仿宋_GB2312" w:cs="Times New Roman"/>
                <w:b/>
                <w:bCs/>
                <w:color w:val="auto"/>
                <w:sz w:val="24"/>
                <w:szCs w:val="24"/>
                <w:highlight w:val="none"/>
              </w:rPr>
            </w:pPr>
            <w:r>
              <w:rPr>
                <w:rFonts w:ascii="Times New Roman" w:hAnsi="Times New Roman" w:eastAsia="仿宋_GB2312" w:cs="Times New Roman"/>
                <w:b/>
                <w:bCs/>
                <w:color w:val="auto"/>
                <w:sz w:val="24"/>
                <w:szCs w:val="24"/>
                <w:highlight w:val="none"/>
                <w:lang w:bidi="ar"/>
                <w14:ligatures w14:val="standardContextual"/>
              </w:rPr>
              <w:t>1</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62A0444B">
            <w:pPr>
              <w:spacing w:line="280" w:lineRule="exact"/>
              <w:jc w:val="center"/>
              <w:rPr>
                <w:rFonts w:ascii="Times New Roman" w:hAnsi="Times New Roman" w:eastAsia="仿宋_GB2312" w:cs="Times New Roman"/>
                <w:b/>
                <w:bCs/>
                <w:color w:val="auto"/>
                <w:sz w:val="24"/>
                <w:szCs w:val="24"/>
                <w:highlight w:val="none"/>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5CA42A4D">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5CCF37A7">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7E914689">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4F29F8DF">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0FCEC32D">
            <w:pPr>
              <w:spacing w:line="280" w:lineRule="exact"/>
              <w:jc w:val="center"/>
              <w:rPr>
                <w:rFonts w:ascii="Times New Roman" w:hAnsi="Times New Roman" w:eastAsia="仿宋_GB2312" w:cs="Times New Roman"/>
                <w:b/>
                <w:bCs/>
                <w:color w:val="auto"/>
                <w:sz w:val="24"/>
                <w:szCs w:val="24"/>
                <w:highlight w:val="none"/>
              </w:rPr>
            </w:pPr>
          </w:p>
        </w:tc>
      </w:tr>
      <w:tr w14:paraId="6B2C8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0BAA">
            <w:pPr>
              <w:spacing w:line="280" w:lineRule="exact"/>
              <w:jc w:val="center"/>
              <w:rPr>
                <w:rFonts w:ascii="Times New Roman" w:hAnsi="Times New Roman" w:eastAsia="仿宋_GB2312" w:cs="Times New Roman"/>
                <w:b/>
                <w:bCs/>
                <w:color w:val="auto"/>
                <w:sz w:val="24"/>
                <w:szCs w:val="24"/>
                <w:highlight w:val="none"/>
              </w:rPr>
            </w:pPr>
            <w:r>
              <w:rPr>
                <w:rFonts w:ascii="Times New Roman" w:hAnsi="Times New Roman" w:eastAsia="仿宋_GB2312" w:cs="Times New Roman"/>
                <w:b/>
                <w:bCs/>
                <w:color w:val="auto"/>
                <w:sz w:val="24"/>
                <w:szCs w:val="24"/>
                <w:highlight w:val="none"/>
                <w:lang w:bidi="ar"/>
                <w14:ligatures w14:val="standardContextual"/>
              </w:rPr>
              <w:t>2</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11776BC3">
            <w:pPr>
              <w:spacing w:line="280" w:lineRule="exact"/>
              <w:jc w:val="center"/>
              <w:rPr>
                <w:rFonts w:ascii="Times New Roman" w:hAnsi="Times New Roman" w:eastAsia="仿宋_GB2312" w:cs="Times New Roman"/>
                <w:b/>
                <w:bCs/>
                <w:color w:val="auto"/>
                <w:sz w:val="24"/>
                <w:szCs w:val="24"/>
                <w:highlight w:val="none"/>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41AF2C54">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719BD26E">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475EE06C">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14AC71FE">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10341899">
            <w:pPr>
              <w:spacing w:line="280" w:lineRule="exact"/>
              <w:jc w:val="center"/>
              <w:rPr>
                <w:rFonts w:ascii="Times New Roman" w:hAnsi="Times New Roman" w:eastAsia="仿宋_GB2312" w:cs="Times New Roman"/>
                <w:b/>
                <w:bCs/>
                <w:color w:val="auto"/>
                <w:sz w:val="24"/>
                <w:szCs w:val="24"/>
                <w:highlight w:val="none"/>
              </w:rPr>
            </w:pPr>
          </w:p>
        </w:tc>
      </w:tr>
      <w:tr w14:paraId="1460C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1340">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53B67E53">
            <w:pPr>
              <w:spacing w:line="280" w:lineRule="exact"/>
              <w:jc w:val="center"/>
              <w:rPr>
                <w:rFonts w:ascii="Times New Roman" w:hAnsi="Times New Roman" w:eastAsia="仿宋_GB2312" w:cs="Times New Roman"/>
                <w:b/>
                <w:bCs/>
                <w:color w:val="auto"/>
                <w:sz w:val="24"/>
                <w:szCs w:val="24"/>
                <w:highlight w:val="none"/>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70077435">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028BC80B">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50C9E6AC">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071DB8F4">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4E85CD43">
            <w:pPr>
              <w:spacing w:line="280" w:lineRule="exact"/>
              <w:jc w:val="center"/>
              <w:rPr>
                <w:rFonts w:ascii="Times New Roman" w:hAnsi="Times New Roman" w:eastAsia="仿宋_GB2312" w:cs="Times New Roman"/>
                <w:b/>
                <w:bCs/>
                <w:color w:val="auto"/>
                <w:sz w:val="24"/>
                <w:szCs w:val="24"/>
                <w:highlight w:val="none"/>
              </w:rPr>
            </w:pPr>
          </w:p>
        </w:tc>
      </w:tr>
      <w:tr w14:paraId="663DE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3DED">
            <w:pPr>
              <w:spacing w:line="280" w:lineRule="exact"/>
              <w:jc w:val="center"/>
              <w:rPr>
                <w:rFonts w:ascii="Times New Roman" w:hAnsi="Times New Roman" w:eastAsia="仿宋_GB2312" w:cs="Times New Roman"/>
                <w:b/>
                <w:bCs/>
                <w:color w:val="auto"/>
                <w:sz w:val="24"/>
                <w:szCs w:val="24"/>
                <w:highlight w:val="none"/>
              </w:rPr>
            </w:pP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2E7E7502">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小</w:t>
            </w:r>
            <w:r>
              <w:rPr>
                <w:rFonts w:ascii="Times New Roman" w:hAnsi="Times New Roman" w:eastAsia="仿宋_GB2312" w:cs="Times New Roman"/>
                <w:b/>
                <w:bCs/>
                <w:color w:val="auto"/>
                <w:sz w:val="24"/>
                <w:szCs w:val="24"/>
                <w:highlight w:val="none"/>
                <w:lang w:bidi="ar"/>
                <w14:ligatures w14:val="standardContextual"/>
              </w:rPr>
              <w:t xml:space="preserve">  </w:t>
            </w:r>
            <w:r>
              <w:rPr>
                <w:rFonts w:hint="eastAsia" w:ascii="Times New Roman" w:hAnsi="Times New Roman" w:eastAsia="仿宋_GB2312" w:cs="Times New Roman"/>
                <w:b/>
                <w:bCs/>
                <w:color w:val="auto"/>
                <w:sz w:val="24"/>
                <w:szCs w:val="24"/>
                <w:highlight w:val="none"/>
                <w:lang w:bidi="ar"/>
                <w14:ligatures w14:val="standardContextual"/>
              </w:rPr>
              <w:t>计</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103B427A">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7501CE00">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64FF7FD7">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351716D6">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0183CB51">
            <w:pPr>
              <w:spacing w:line="280" w:lineRule="exact"/>
              <w:jc w:val="center"/>
              <w:rPr>
                <w:rFonts w:ascii="Times New Roman" w:hAnsi="Times New Roman" w:eastAsia="仿宋_GB2312" w:cs="Times New Roman"/>
                <w:b/>
                <w:bCs/>
                <w:color w:val="auto"/>
                <w:sz w:val="24"/>
                <w:szCs w:val="24"/>
                <w:highlight w:val="none"/>
              </w:rPr>
            </w:pPr>
          </w:p>
        </w:tc>
      </w:tr>
      <w:tr w14:paraId="41907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1824">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（四）</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0F349A25">
            <w:pPr>
              <w:spacing w:line="280" w:lineRule="exact"/>
              <w:jc w:val="left"/>
              <w:rPr>
                <w:rFonts w:ascii="Times New Roman" w:hAnsi="Times New Roman" w:eastAsia="仿宋_GB2312" w:cs="Times New Roman"/>
                <w:b/>
                <w:bCs/>
                <w:color w:val="auto"/>
                <w:sz w:val="24"/>
                <w:szCs w:val="24"/>
                <w:highlight w:val="none"/>
                <w:lang w:bidi="ar"/>
              </w:rPr>
            </w:pPr>
            <w:r>
              <w:rPr>
                <w:rFonts w:hint="eastAsia" w:ascii="Times New Roman" w:hAnsi="Times New Roman" w:eastAsia="仿宋_GB2312" w:cs="Times New Roman"/>
                <w:b/>
                <w:bCs/>
                <w:color w:val="auto"/>
                <w:sz w:val="24"/>
                <w:szCs w:val="24"/>
                <w:highlight w:val="none"/>
                <w:lang w:bidi="ar"/>
                <w14:ligatures w14:val="standardContextual"/>
              </w:rPr>
              <w:t>咨询等服务</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7105433D">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1F62C6C4">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5BB76BB7">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6A8CBCD7">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114D9D64">
            <w:pPr>
              <w:spacing w:line="280" w:lineRule="exact"/>
              <w:jc w:val="center"/>
              <w:rPr>
                <w:rFonts w:ascii="Times New Roman" w:hAnsi="Times New Roman" w:eastAsia="仿宋_GB2312" w:cs="Times New Roman"/>
                <w:b/>
                <w:bCs/>
                <w:color w:val="auto"/>
                <w:sz w:val="24"/>
                <w:szCs w:val="24"/>
                <w:highlight w:val="none"/>
              </w:rPr>
            </w:pPr>
          </w:p>
        </w:tc>
      </w:tr>
      <w:tr w14:paraId="60A63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17E8">
            <w:pPr>
              <w:spacing w:line="280" w:lineRule="exact"/>
              <w:jc w:val="center"/>
              <w:rPr>
                <w:rFonts w:ascii="Times New Roman" w:hAnsi="Times New Roman" w:eastAsia="仿宋_GB2312" w:cs="Times New Roman"/>
                <w:b/>
                <w:bCs/>
                <w:color w:val="auto"/>
                <w:sz w:val="24"/>
                <w:szCs w:val="24"/>
                <w:highlight w:val="none"/>
              </w:rPr>
            </w:pPr>
            <w:r>
              <w:rPr>
                <w:rFonts w:ascii="Times New Roman" w:hAnsi="Times New Roman" w:eastAsia="仿宋_GB2312" w:cs="Times New Roman"/>
                <w:b/>
                <w:bCs/>
                <w:color w:val="auto"/>
                <w:sz w:val="24"/>
                <w:szCs w:val="24"/>
                <w:highlight w:val="none"/>
                <w:lang w:bidi="ar"/>
                <w14:ligatures w14:val="standardContextual"/>
              </w:rPr>
              <w:t>1</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573AC729">
            <w:pPr>
              <w:spacing w:line="280" w:lineRule="exact"/>
              <w:jc w:val="center"/>
              <w:rPr>
                <w:rFonts w:ascii="Times New Roman" w:hAnsi="Times New Roman" w:eastAsia="仿宋_GB2312" w:cs="Times New Roman"/>
                <w:b/>
                <w:bCs/>
                <w:color w:val="auto"/>
                <w:sz w:val="24"/>
                <w:szCs w:val="24"/>
                <w:highlight w:val="none"/>
                <w:lang w:bidi="ar"/>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040B9AFE">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209F2BDC">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71550D4E">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391B3816">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4DF68C03">
            <w:pPr>
              <w:spacing w:line="280" w:lineRule="exact"/>
              <w:jc w:val="center"/>
              <w:rPr>
                <w:rFonts w:ascii="Times New Roman" w:hAnsi="Times New Roman" w:eastAsia="仿宋_GB2312" w:cs="Times New Roman"/>
                <w:b/>
                <w:bCs/>
                <w:color w:val="auto"/>
                <w:sz w:val="24"/>
                <w:szCs w:val="24"/>
                <w:highlight w:val="none"/>
              </w:rPr>
            </w:pPr>
          </w:p>
        </w:tc>
      </w:tr>
      <w:tr w14:paraId="4EF1F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6000">
            <w:pPr>
              <w:spacing w:line="280" w:lineRule="exact"/>
              <w:jc w:val="center"/>
              <w:rPr>
                <w:rFonts w:ascii="Times New Roman" w:hAnsi="Times New Roman" w:eastAsia="仿宋_GB2312" w:cs="Times New Roman"/>
                <w:b/>
                <w:bCs/>
                <w:color w:val="auto"/>
                <w:sz w:val="24"/>
                <w:szCs w:val="24"/>
                <w:highlight w:val="none"/>
              </w:rPr>
            </w:pPr>
            <w:r>
              <w:rPr>
                <w:rFonts w:ascii="Times New Roman" w:hAnsi="Times New Roman" w:eastAsia="仿宋_GB2312" w:cs="Times New Roman"/>
                <w:b/>
                <w:bCs/>
                <w:color w:val="auto"/>
                <w:sz w:val="24"/>
                <w:szCs w:val="24"/>
                <w:highlight w:val="none"/>
                <w:lang w:bidi="ar"/>
                <w14:ligatures w14:val="standardContextual"/>
              </w:rPr>
              <w:t>2</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4F9AAD5F">
            <w:pPr>
              <w:spacing w:line="280" w:lineRule="exact"/>
              <w:jc w:val="center"/>
              <w:rPr>
                <w:rFonts w:ascii="Times New Roman" w:hAnsi="Times New Roman" w:eastAsia="仿宋_GB2312" w:cs="Times New Roman"/>
                <w:b/>
                <w:bCs/>
                <w:color w:val="auto"/>
                <w:sz w:val="24"/>
                <w:szCs w:val="24"/>
                <w:highlight w:val="none"/>
                <w:lang w:bidi="ar"/>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79F44047">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41D1204D">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72CD3933">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0445874F">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3789E1F7">
            <w:pPr>
              <w:spacing w:line="280" w:lineRule="exact"/>
              <w:jc w:val="center"/>
              <w:rPr>
                <w:rFonts w:ascii="Times New Roman" w:hAnsi="Times New Roman" w:eastAsia="仿宋_GB2312" w:cs="Times New Roman"/>
                <w:b/>
                <w:bCs/>
                <w:color w:val="auto"/>
                <w:sz w:val="24"/>
                <w:szCs w:val="24"/>
                <w:highlight w:val="none"/>
              </w:rPr>
            </w:pPr>
          </w:p>
        </w:tc>
      </w:tr>
      <w:tr w14:paraId="4CBC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F591">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w:t>
            </w: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535D5B20">
            <w:pPr>
              <w:spacing w:line="280" w:lineRule="exact"/>
              <w:jc w:val="center"/>
              <w:rPr>
                <w:rFonts w:ascii="Times New Roman" w:hAnsi="Times New Roman" w:eastAsia="仿宋_GB2312" w:cs="Times New Roman"/>
                <w:b/>
                <w:bCs/>
                <w:color w:val="auto"/>
                <w:sz w:val="24"/>
                <w:szCs w:val="24"/>
                <w:highlight w:val="none"/>
                <w:lang w:bidi="ar"/>
              </w:rPr>
            </w:pP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1EC5CF82">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0118F6B4">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7F6A6732">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0465FC4C">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571060E8">
            <w:pPr>
              <w:spacing w:line="280" w:lineRule="exact"/>
              <w:jc w:val="center"/>
              <w:rPr>
                <w:rFonts w:ascii="Times New Roman" w:hAnsi="Times New Roman" w:eastAsia="仿宋_GB2312" w:cs="Times New Roman"/>
                <w:b/>
                <w:bCs/>
                <w:color w:val="auto"/>
                <w:sz w:val="24"/>
                <w:szCs w:val="24"/>
                <w:highlight w:val="none"/>
              </w:rPr>
            </w:pPr>
          </w:p>
        </w:tc>
      </w:tr>
      <w:tr w14:paraId="0BA68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EEA8">
            <w:pPr>
              <w:spacing w:line="280" w:lineRule="exact"/>
              <w:jc w:val="center"/>
              <w:rPr>
                <w:rFonts w:ascii="Times New Roman" w:hAnsi="Times New Roman" w:eastAsia="仿宋_GB2312" w:cs="Times New Roman"/>
                <w:b/>
                <w:bCs/>
                <w:color w:val="auto"/>
                <w:sz w:val="24"/>
                <w:szCs w:val="24"/>
                <w:highlight w:val="none"/>
                <w:lang w:bidi="ar"/>
              </w:rPr>
            </w:pPr>
          </w:p>
        </w:tc>
        <w:tc>
          <w:tcPr>
            <w:tcW w:w="2160" w:type="dxa"/>
            <w:tcBorders>
              <w:top w:val="single" w:color="000000" w:sz="4" w:space="0"/>
              <w:left w:val="nil"/>
              <w:bottom w:val="single" w:color="000000" w:sz="4" w:space="0"/>
              <w:right w:val="single" w:color="000000" w:sz="4" w:space="0"/>
            </w:tcBorders>
            <w:shd w:val="clear" w:color="auto" w:fill="auto"/>
            <w:noWrap/>
            <w:vAlign w:val="center"/>
          </w:tcPr>
          <w:p w14:paraId="39E70576">
            <w:pPr>
              <w:spacing w:line="280" w:lineRule="exact"/>
              <w:jc w:val="center"/>
              <w:rPr>
                <w:rFonts w:ascii="Times New Roman" w:hAnsi="Times New Roman" w:eastAsia="仿宋_GB2312" w:cs="Times New Roman"/>
                <w:b/>
                <w:bCs/>
                <w:color w:val="auto"/>
                <w:sz w:val="24"/>
                <w:szCs w:val="24"/>
                <w:highlight w:val="none"/>
                <w:lang w:bidi="ar"/>
              </w:rPr>
            </w:pPr>
            <w:r>
              <w:rPr>
                <w:rFonts w:hint="eastAsia" w:ascii="Times New Roman" w:hAnsi="Times New Roman" w:eastAsia="仿宋_GB2312" w:cs="Times New Roman"/>
                <w:b/>
                <w:bCs/>
                <w:color w:val="auto"/>
                <w:sz w:val="24"/>
                <w:szCs w:val="24"/>
                <w:highlight w:val="none"/>
                <w:lang w:bidi="ar"/>
                <w14:ligatures w14:val="standardContextual"/>
              </w:rPr>
              <w:t>小</w:t>
            </w:r>
            <w:r>
              <w:rPr>
                <w:rFonts w:ascii="Times New Roman" w:hAnsi="Times New Roman" w:eastAsia="仿宋_GB2312" w:cs="Times New Roman"/>
                <w:b/>
                <w:bCs/>
                <w:color w:val="auto"/>
                <w:sz w:val="24"/>
                <w:szCs w:val="24"/>
                <w:highlight w:val="none"/>
                <w:lang w:bidi="ar"/>
                <w14:ligatures w14:val="standardContextual"/>
              </w:rPr>
              <w:t xml:space="preserve">  </w:t>
            </w:r>
            <w:r>
              <w:rPr>
                <w:rFonts w:hint="eastAsia" w:ascii="Times New Roman" w:hAnsi="Times New Roman" w:eastAsia="仿宋_GB2312" w:cs="Times New Roman"/>
                <w:b/>
                <w:bCs/>
                <w:color w:val="auto"/>
                <w:sz w:val="24"/>
                <w:szCs w:val="24"/>
                <w:highlight w:val="none"/>
                <w:lang w:bidi="ar"/>
                <w14:ligatures w14:val="standardContextual"/>
              </w:rPr>
              <w:t>计</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74697BAB">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037393C7">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4B6F9C00">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4B347D30">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56F56B76">
            <w:pPr>
              <w:spacing w:line="280" w:lineRule="exact"/>
              <w:jc w:val="center"/>
              <w:rPr>
                <w:rFonts w:ascii="Times New Roman" w:hAnsi="Times New Roman" w:eastAsia="仿宋_GB2312" w:cs="Times New Roman"/>
                <w:b/>
                <w:bCs/>
                <w:color w:val="auto"/>
                <w:sz w:val="24"/>
                <w:szCs w:val="24"/>
                <w:highlight w:val="none"/>
              </w:rPr>
            </w:pPr>
          </w:p>
        </w:tc>
      </w:tr>
      <w:tr w14:paraId="26586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3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38A0">
            <w:pPr>
              <w:spacing w:line="280" w:lineRule="exact"/>
              <w:jc w:val="center"/>
              <w:rPr>
                <w:rFonts w:ascii="Times New Roman" w:hAnsi="Times New Roman" w:eastAsia="仿宋_GB2312" w:cs="Times New Roman"/>
                <w:b/>
                <w:bCs/>
                <w:color w:val="auto"/>
                <w:sz w:val="24"/>
                <w:szCs w:val="24"/>
                <w:highlight w:val="none"/>
              </w:rPr>
            </w:pPr>
            <w:r>
              <w:rPr>
                <w:rFonts w:hint="eastAsia" w:ascii="Times New Roman" w:hAnsi="Times New Roman" w:eastAsia="仿宋_GB2312" w:cs="Times New Roman"/>
                <w:b/>
                <w:bCs/>
                <w:color w:val="auto"/>
                <w:sz w:val="24"/>
                <w:szCs w:val="24"/>
                <w:highlight w:val="none"/>
                <w:lang w:bidi="ar"/>
                <w14:ligatures w14:val="standardContextual"/>
              </w:rPr>
              <w:t>合</w:t>
            </w:r>
            <w:r>
              <w:rPr>
                <w:rFonts w:ascii="Times New Roman" w:hAnsi="Times New Roman" w:eastAsia="仿宋_GB2312" w:cs="Times New Roman"/>
                <w:b/>
                <w:bCs/>
                <w:color w:val="auto"/>
                <w:sz w:val="24"/>
                <w:szCs w:val="24"/>
                <w:highlight w:val="none"/>
                <w:lang w:bidi="ar"/>
                <w14:ligatures w14:val="standardContextual"/>
              </w:rPr>
              <w:t xml:space="preserve">  </w:t>
            </w:r>
            <w:r>
              <w:rPr>
                <w:rFonts w:hint="eastAsia" w:ascii="Times New Roman" w:hAnsi="Times New Roman" w:eastAsia="仿宋_GB2312" w:cs="Times New Roman"/>
                <w:b/>
                <w:bCs/>
                <w:color w:val="auto"/>
                <w:sz w:val="24"/>
                <w:szCs w:val="24"/>
                <w:highlight w:val="none"/>
                <w:lang w:bidi="ar"/>
                <w14:ligatures w14:val="standardContextual"/>
              </w:rPr>
              <w:t>计</w:t>
            </w:r>
          </w:p>
        </w:tc>
        <w:tc>
          <w:tcPr>
            <w:tcW w:w="1878" w:type="dxa"/>
            <w:tcBorders>
              <w:top w:val="single" w:color="000000" w:sz="4" w:space="0"/>
              <w:left w:val="nil"/>
              <w:bottom w:val="single" w:color="000000" w:sz="4" w:space="0"/>
              <w:right w:val="single" w:color="auto" w:sz="4" w:space="0"/>
            </w:tcBorders>
            <w:shd w:val="clear" w:color="auto" w:fill="auto"/>
            <w:noWrap/>
            <w:vAlign w:val="center"/>
          </w:tcPr>
          <w:p w14:paraId="24FCF6E9">
            <w:pPr>
              <w:spacing w:line="280" w:lineRule="exact"/>
              <w:jc w:val="center"/>
              <w:rPr>
                <w:rFonts w:ascii="Times New Roman" w:hAnsi="Times New Roman" w:eastAsia="仿宋_GB2312" w:cs="Times New Roman"/>
                <w:b/>
                <w:bCs/>
                <w:color w:val="auto"/>
                <w:sz w:val="24"/>
                <w:szCs w:val="24"/>
                <w:highlight w:val="none"/>
              </w:rPr>
            </w:pPr>
          </w:p>
        </w:tc>
        <w:tc>
          <w:tcPr>
            <w:tcW w:w="1247" w:type="dxa"/>
            <w:tcBorders>
              <w:top w:val="single" w:color="000000" w:sz="4" w:space="0"/>
              <w:left w:val="nil"/>
              <w:bottom w:val="single" w:color="000000" w:sz="4" w:space="0"/>
              <w:right w:val="single" w:color="000000" w:sz="4" w:space="0"/>
            </w:tcBorders>
            <w:shd w:val="clear" w:color="auto" w:fill="auto"/>
            <w:noWrap/>
            <w:vAlign w:val="center"/>
          </w:tcPr>
          <w:p w14:paraId="057E0132">
            <w:pPr>
              <w:spacing w:line="280" w:lineRule="exact"/>
              <w:jc w:val="center"/>
              <w:rPr>
                <w:rFonts w:ascii="Times New Roman" w:hAnsi="Times New Roman" w:eastAsia="仿宋_GB2312" w:cs="Times New Roman"/>
                <w:b/>
                <w:bCs/>
                <w:color w:val="auto"/>
                <w:sz w:val="24"/>
                <w:szCs w:val="24"/>
                <w:highlight w:val="none"/>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6CC1CF1B">
            <w:pPr>
              <w:spacing w:line="280" w:lineRule="exact"/>
              <w:jc w:val="center"/>
              <w:rPr>
                <w:rFonts w:ascii="Times New Roman" w:hAnsi="Times New Roman" w:eastAsia="仿宋_GB2312" w:cs="Times New Roman"/>
                <w:b/>
                <w:bCs/>
                <w:color w:val="auto"/>
                <w:sz w:val="24"/>
                <w:szCs w:val="24"/>
                <w:highlight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41C827FF">
            <w:pPr>
              <w:spacing w:line="280" w:lineRule="exact"/>
              <w:jc w:val="center"/>
              <w:rPr>
                <w:rFonts w:ascii="Times New Roman" w:hAnsi="Times New Roman" w:eastAsia="仿宋_GB2312" w:cs="Times New Roman"/>
                <w:b/>
                <w:bCs/>
                <w:color w:val="auto"/>
                <w:sz w:val="24"/>
                <w:szCs w:val="24"/>
                <w:highlight w:val="none"/>
              </w:rPr>
            </w:pPr>
          </w:p>
        </w:tc>
        <w:tc>
          <w:tcPr>
            <w:tcW w:w="2064" w:type="dxa"/>
            <w:tcBorders>
              <w:top w:val="single" w:color="000000" w:sz="4" w:space="0"/>
              <w:left w:val="nil"/>
              <w:bottom w:val="single" w:color="000000" w:sz="4" w:space="0"/>
              <w:right w:val="single" w:color="000000" w:sz="4" w:space="0"/>
            </w:tcBorders>
            <w:shd w:val="clear" w:color="auto" w:fill="auto"/>
            <w:noWrap/>
            <w:vAlign w:val="center"/>
          </w:tcPr>
          <w:p w14:paraId="46E79521">
            <w:pPr>
              <w:spacing w:line="280" w:lineRule="exact"/>
              <w:jc w:val="center"/>
              <w:rPr>
                <w:rFonts w:ascii="Times New Roman" w:hAnsi="Times New Roman" w:eastAsia="仿宋_GB2312" w:cs="Times New Roman"/>
                <w:b/>
                <w:bCs/>
                <w:color w:val="auto"/>
                <w:sz w:val="24"/>
                <w:szCs w:val="24"/>
                <w:highlight w:val="none"/>
              </w:rPr>
            </w:pPr>
          </w:p>
        </w:tc>
      </w:tr>
    </w:tbl>
    <w:p w14:paraId="448C40A3">
      <w:pPr>
        <w:rPr>
          <w:color w:val="auto"/>
          <w:highlight w:val="none"/>
        </w:rPr>
      </w:pPr>
    </w:p>
    <w:p w14:paraId="701A31BD">
      <w:pPr>
        <w:rPr>
          <w:color w:val="auto"/>
          <w:highlight w:val="none"/>
        </w:rPr>
      </w:pPr>
    </w:p>
    <w:p w14:paraId="28928A31">
      <w:pPr>
        <w:rPr>
          <w:color w:val="auto"/>
          <w:highlight w:val="none"/>
        </w:rPr>
      </w:pPr>
    </w:p>
    <w:p w14:paraId="2C4C5AC7">
      <w:pPr>
        <w:rPr>
          <w:color w:val="auto"/>
          <w:highlight w:val="none"/>
        </w:rPr>
      </w:pPr>
    </w:p>
    <w:p w14:paraId="5DD25334">
      <w:pPr>
        <w:tabs>
          <w:tab w:val="left" w:pos="420"/>
        </w:tabs>
        <w:ind w:firstLine="640"/>
        <w:jc w:val="left"/>
        <w:rPr>
          <w:color w:val="auto"/>
          <w:highlight w:val="none"/>
        </w:rPr>
      </w:pPr>
      <w:r>
        <w:rPr>
          <w:rFonts w:ascii="Calibri" w:hAnsi="Calibri" w:eastAsia="黑体" w:cs="Times New Roman"/>
          <w:color w:val="auto"/>
          <w:szCs w:val="32"/>
          <w:highlight w:val="none"/>
          <w:lang w:bidi="ar"/>
        </w:rPr>
        <w:br w:type="page"/>
      </w:r>
    </w:p>
    <w:p w14:paraId="5D34580C">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附件4.中小企业数字化转型城市试点专项补助资金申请承诺书</w:t>
      </w:r>
    </w:p>
    <w:p w14:paraId="1DFBFCAF">
      <w:pPr>
        <w:spacing w:line="560" w:lineRule="exact"/>
        <w:jc w:val="center"/>
        <w:rPr>
          <w:rFonts w:ascii="Times New Roman" w:hAnsi="Times New Roman" w:eastAsia="仿宋_GB2312" w:cs="Times New Roman"/>
          <w:color w:val="auto"/>
          <w:sz w:val="32"/>
          <w:szCs w:val="32"/>
          <w:highlight w:val="none"/>
        </w:rPr>
      </w:pPr>
    </w:p>
    <w:p w14:paraId="552C895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中小企业数字化转型城市试点专项补助资金申请承诺书</w:t>
      </w:r>
    </w:p>
    <w:p w14:paraId="601C0121">
      <w:pPr>
        <w:spacing w:line="560" w:lineRule="exact"/>
        <w:jc w:val="center"/>
        <w:rPr>
          <w:rFonts w:ascii="方正公文小标宋" w:hAnsi="方正公文小标宋" w:eastAsia="方正公文小标宋" w:cs="方正公文小标宋"/>
          <w:color w:val="auto"/>
          <w:sz w:val="44"/>
          <w:szCs w:val="44"/>
          <w:highlight w:val="none"/>
        </w:rPr>
      </w:pPr>
    </w:p>
    <w:p w14:paraId="7976B5A1">
      <w:pPr>
        <w:spacing w:line="56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本企业谨此郑重承诺如下：</w:t>
      </w:r>
    </w:p>
    <w:p w14:paraId="245945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一、本企业系在海口市依法注册登记的中小企业，具备独立法人资格，符合《中小企业划型标准规定》（工信部联企业〔2011〕300号）。</w:t>
      </w:r>
    </w:p>
    <w:p w14:paraId="0E04ACE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二、本企业未被列入经营异常名录或严重失信主体名单，近三年未发生重大安全（含网络安全、数据安全等）、质量、环境污染等事故及偷漏税等违法违规行为。</w:t>
      </w:r>
    </w:p>
    <w:p w14:paraId="4A787F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在申请中小企业数字化转型资金过程中，本企业将严格遵循相关规定和程序，确保申请材料的真实性和完整性，不存在任何虚假、误导或隐瞒的情况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本企业承诺在收到本专项补助资金之日起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0个工作日内，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提供数字化改造合同的发票、付款回单的复印件并加盖公章。逾期无法提供的，本企业在15个工作日内全额退还补助资金。</w:t>
      </w:r>
    </w:p>
    <w:p w14:paraId="429956DB">
      <w:pPr>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、本企业已与所在模块的集成服务商开展合作，并真实发生了数字化改造工作。</w:t>
      </w:r>
      <w:r>
        <w:rPr>
          <w:rFonts w:hint="eastAsia" w:ascii="仿宋_GB2312" w:hAnsi="仿宋_GB2312" w:eastAsia="仿宋_GB2312" w:cs="仿宋_GB2312"/>
          <w:sz w:val="32"/>
          <w:szCs w:val="32"/>
          <w:lang w:val="en-US" w:eastAsia="zh-CN"/>
        </w:rPr>
        <w:t>若未通过</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业和信息化</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val="en-US" w:eastAsia="zh-CN"/>
        </w:rPr>
        <w:t>组织的验收，将积极配合集成服务商进行整改，直至本企业的数字化水平达到二级标准，并且通过</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业和信息化</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val="en-US" w:eastAsia="zh-CN"/>
        </w:rPr>
        <w:t>验收。</w:t>
      </w:r>
    </w:p>
    <w:p w14:paraId="00FE614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、本企业深知承诺的严肃性和重要性，若违反上述承诺，本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愿意退还全部补助资金，并承担由此产生的一切后果。</w:t>
      </w:r>
    </w:p>
    <w:p w14:paraId="7248C2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本企业法定代表人（或授权代表）已认真阅读并完全理解本承诺书的各项内容，代表本企业签署本承诺书，若违反上述承诺，愿意承担因违反上述承诺而产生的法律责任和一切不利后果。</w:t>
      </w:r>
    </w:p>
    <w:p w14:paraId="4431646E">
      <w:pPr>
        <w:adjustRightInd w:val="0"/>
        <w:snapToGrid w:val="0"/>
        <w:spacing w:line="360" w:lineRule="auto"/>
        <w:rPr>
          <w:rFonts w:ascii="Times New Roman" w:hAnsi="Times New Roman" w:eastAsia="仿宋_GB2312" w:cs="Times New Roman"/>
          <w:color w:val="auto"/>
          <w:sz w:val="32"/>
          <w:szCs w:val="32"/>
          <w:highlight w:val="none"/>
        </w:rPr>
      </w:pPr>
    </w:p>
    <w:p w14:paraId="3162BDE3">
      <w:pPr>
        <w:adjustRightInd w:val="0"/>
        <w:snapToGrid w:val="0"/>
        <w:spacing w:line="360" w:lineRule="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企业名称（盖章）：______________________</w:t>
      </w:r>
    </w:p>
    <w:p w14:paraId="76C1CE63">
      <w:pPr>
        <w:adjustRightInd w:val="0"/>
        <w:snapToGrid w:val="0"/>
        <w:spacing w:line="360" w:lineRule="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法定代表人（或授权代表）（签</w:t>
      </w:r>
      <w:r>
        <w:rPr>
          <w:rFonts w:hint="eastAsia" w:ascii="Times New Roman" w:hAnsi="Times New Roman" w:eastAsia="仿宋_GB2312" w:cs="Times New Roman"/>
          <w:color w:val="auto"/>
          <w:sz w:val="32"/>
          <w:szCs w:val="32"/>
          <w:highlight w:val="none"/>
          <w:lang w:eastAsia="zh-CN"/>
        </w:rPr>
        <w:t>章</w:t>
      </w:r>
      <w:r>
        <w:rPr>
          <w:rFonts w:hint="eastAsia" w:ascii="Times New Roman" w:hAnsi="Times New Roman" w:eastAsia="仿宋_GB2312" w:cs="Times New Roman"/>
          <w:color w:val="auto"/>
          <w:sz w:val="32"/>
          <w:szCs w:val="32"/>
          <w:highlight w:val="none"/>
        </w:rPr>
        <w:t>）：________________</w:t>
      </w:r>
    </w:p>
    <w:p w14:paraId="68EFE35C">
      <w:pPr>
        <w:adjustRightInd w:val="0"/>
        <w:snapToGrid w:val="0"/>
        <w:spacing w:line="360" w:lineRule="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联系电话：______________________________</w:t>
      </w:r>
    </w:p>
    <w:p w14:paraId="36DE6589">
      <w:pPr>
        <w:adjustRightInd w:val="0"/>
        <w:snapToGrid w:val="0"/>
        <w:spacing w:line="360" w:lineRule="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日期：__________________________________</w:t>
      </w:r>
    </w:p>
    <w:p w14:paraId="4E8B9C69">
      <w:pPr>
        <w:adjustRightInd w:val="0"/>
        <w:snapToGrid w:val="0"/>
        <w:spacing w:line="360" w:lineRule="auto"/>
        <w:rPr>
          <w:rFonts w:ascii="Times New Roman" w:hAnsi="Times New Roman" w:eastAsia="仿宋_GB2312" w:cs="Times New Roman"/>
          <w:color w:val="auto"/>
          <w:sz w:val="32"/>
          <w:szCs w:val="32"/>
          <w:highlight w:val="none"/>
        </w:rPr>
      </w:pPr>
    </w:p>
    <w:p w14:paraId="0C5F1B21">
      <w:pPr>
        <w:adjustRightInd w:val="0"/>
        <w:snapToGrid w:val="0"/>
        <w:spacing w:line="360" w:lineRule="auto"/>
        <w:rPr>
          <w:rFonts w:ascii="Times New Roman" w:hAnsi="Times New Roman" w:eastAsia="仿宋_GB2312" w:cs="Times New Roman"/>
          <w:color w:val="auto"/>
          <w:sz w:val="32"/>
          <w:szCs w:val="32"/>
          <w:highlight w:val="none"/>
        </w:rPr>
      </w:pPr>
    </w:p>
    <w:p w14:paraId="397B3DFA">
      <w:pPr>
        <w:adjustRightInd w:val="0"/>
        <w:snapToGrid w:val="0"/>
        <w:spacing w:line="360" w:lineRule="auto"/>
        <w:rPr>
          <w:rFonts w:ascii="Times New Roman" w:hAnsi="Times New Roman" w:eastAsia="仿宋_GB2312" w:cs="Times New Roman"/>
          <w:color w:val="auto"/>
          <w:sz w:val="32"/>
          <w:szCs w:val="32"/>
          <w:highlight w:val="none"/>
        </w:rPr>
      </w:pPr>
    </w:p>
    <w:p w14:paraId="563BC5C0">
      <w:pPr>
        <w:adjustRightInd w:val="0"/>
        <w:snapToGrid w:val="0"/>
        <w:spacing w:line="360" w:lineRule="auto"/>
        <w:rPr>
          <w:rFonts w:ascii="Times New Roman" w:hAnsi="Times New Roman" w:eastAsia="仿宋_GB2312" w:cs="Times New Roman"/>
          <w:color w:val="auto"/>
          <w:sz w:val="32"/>
          <w:szCs w:val="32"/>
          <w:highlight w:val="none"/>
        </w:rPr>
      </w:pPr>
    </w:p>
    <w:p w14:paraId="501C8BF5">
      <w:pPr>
        <w:tabs>
          <w:tab w:val="left" w:pos="420"/>
        </w:tabs>
        <w:ind w:firstLine="640"/>
        <w:jc w:val="left"/>
        <w:rPr>
          <w:rFonts w:ascii="Times New Roman" w:hAnsi="Times New Roman" w:eastAsia="仿宋_GB2312" w:cs="Times New Roman"/>
          <w:color w:val="auto"/>
          <w:sz w:val="32"/>
          <w:szCs w:val="32"/>
          <w:highlight w:val="none"/>
        </w:rPr>
      </w:pPr>
      <w:r>
        <w:rPr>
          <w:rFonts w:ascii="Calibri" w:hAnsi="Calibri" w:eastAsia="黑体" w:cs="Times New Roman"/>
          <w:color w:val="auto"/>
          <w:szCs w:val="32"/>
          <w:highlight w:val="none"/>
          <w:lang w:bidi="ar"/>
        </w:rPr>
        <w:br w:type="page"/>
      </w:r>
    </w:p>
    <w:p w14:paraId="5619E1A1">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附件5.数字化改造情况及成效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4136"/>
        <w:gridCol w:w="1189"/>
        <w:gridCol w:w="1075"/>
      </w:tblGrid>
      <w:tr w14:paraId="3DBF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518" w:type="dxa"/>
            <w:gridSpan w:val="4"/>
            <w:tcBorders>
              <w:top w:val="single" w:color="auto" w:sz="4" w:space="0"/>
              <w:left w:val="single" w:color="auto" w:sz="4" w:space="0"/>
              <w:right w:val="single" w:color="auto" w:sz="4" w:space="0"/>
            </w:tcBorders>
            <w:vAlign w:val="center"/>
          </w:tcPr>
          <w:p w14:paraId="2A74FBB9">
            <w:pPr>
              <w:widowControl/>
              <w:kinsoku w:val="0"/>
              <w:autoSpaceDE w:val="0"/>
              <w:autoSpaceDN w:val="0"/>
              <w:adjustRightInd w:val="0"/>
              <w:spacing w:line="560" w:lineRule="exact"/>
              <w:textAlignment w:val="baseline"/>
              <w:rPr>
                <w:rFonts w:ascii="仿宋_GB2312" w:hAnsi="仿宋_GB2312" w:eastAsia="仿宋_GB2312" w:cs="仿宋_GB2312"/>
                <w:bCs/>
                <w:snapToGrid w:val="0"/>
                <w:color w:val="auto"/>
                <w:kern w:val="0"/>
                <w:szCs w:val="21"/>
                <w:highlight w:val="none"/>
              </w:rPr>
            </w:pPr>
            <w:r>
              <w:rPr>
                <w:rFonts w:hint="eastAsia" w:ascii="仿宋_GB2312" w:hAnsi="仿宋_GB2312" w:eastAsia="仿宋_GB2312" w:cs="仿宋_GB2312"/>
                <w:b/>
                <w:snapToGrid w:val="0"/>
                <w:color w:val="auto"/>
                <w:kern w:val="0"/>
                <w:sz w:val="28"/>
                <w:szCs w:val="28"/>
                <w:highlight w:val="none"/>
              </w:rPr>
              <w:t>数字化改造情况及成效（试点企业与数字化服务商共同填写）</w:t>
            </w:r>
          </w:p>
        </w:tc>
      </w:tr>
      <w:tr w14:paraId="7E23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18" w:type="dxa"/>
            <w:tcBorders>
              <w:top w:val="single" w:color="auto" w:sz="4" w:space="0"/>
              <w:left w:val="single" w:color="auto" w:sz="4" w:space="0"/>
              <w:right w:val="single" w:color="auto" w:sz="4" w:space="0"/>
            </w:tcBorders>
            <w:vAlign w:val="center"/>
          </w:tcPr>
          <w:p w14:paraId="5AB7E5A0">
            <w:pPr>
              <w:widowControl/>
              <w:kinsoku w:val="0"/>
              <w:autoSpaceDE w:val="0"/>
              <w:autoSpaceDN w:val="0"/>
              <w:spacing w:line="560" w:lineRule="exact"/>
              <w:jc w:val="left"/>
              <w:textAlignment w:val="baseline"/>
              <w:rPr>
                <w:rFonts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snapToGrid w:val="0"/>
                <w:color w:val="auto"/>
                <w:kern w:val="0"/>
                <w:szCs w:val="21"/>
                <w:highlight w:val="none"/>
              </w:rPr>
              <w:t>数字化转型内容介绍</w:t>
            </w:r>
          </w:p>
        </w:tc>
        <w:tc>
          <w:tcPr>
            <w:tcW w:w="6400" w:type="dxa"/>
            <w:gridSpan w:val="3"/>
            <w:tcBorders>
              <w:top w:val="single" w:color="auto" w:sz="4" w:space="0"/>
              <w:left w:val="single" w:color="auto" w:sz="4" w:space="0"/>
              <w:right w:val="single" w:color="auto" w:sz="4" w:space="0"/>
            </w:tcBorders>
            <w:vAlign w:val="center"/>
          </w:tcPr>
          <w:p w14:paraId="27772ABD">
            <w:pPr>
              <w:widowControl/>
              <w:kinsoku w:val="0"/>
              <w:autoSpaceDE w:val="0"/>
              <w:autoSpaceDN w:val="0"/>
              <w:adjustRightInd w:val="0"/>
              <w:spacing w:line="560" w:lineRule="exact"/>
              <w:jc w:val="left"/>
              <w:textAlignment w:val="baseline"/>
              <w:rPr>
                <w:rFonts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Cs/>
                <w:snapToGrid w:val="0"/>
                <w:color w:val="auto"/>
                <w:kern w:val="0"/>
                <w:szCs w:val="21"/>
                <w:highlight w:val="none"/>
              </w:rPr>
              <w:t>若有多项，请逐项列出。</w:t>
            </w:r>
          </w:p>
        </w:tc>
      </w:tr>
      <w:tr w14:paraId="5ED6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18" w:type="dxa"/>
            <w:tcBorders>
              <w:top w:val="single" w:color="auto" w:sz="4" w:space="0"/>
              <w:left w:val="single" w:color="auto" w:sz="4" w:space="0"/>
              <w:right w:val="single" w:color="auto" w:sz="4" w:space="0"/>
            </w:tcBorders>
            <w:vAlign w:val="center"/>
          </w:tcPr>
          <w:p w14:paraId="02A1FF36">
            <w:pPr>
              <w:widowControl/>
              <w:kinsoku w:val="0"/>
              <w:autoSpaceDE w:val="0"/>
              <w:autoSpaceDN w:val="0"/>
              <w:spacing w:line="560" w:lineRule="exact"/>
              <w:jc w:val="left"/>
              <w:textAlignment w:val="baseline"/>
              <w:rPr>
                <w:rFonts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snapToGrid w:val="0"/>
                <w:color w:val="auto"/>
                <w:kern w:val="0"/>
                <w:szCs w:val="21"/>
                <w:highlight w:val="none"/>
              </w:rPr>
              <w:t>云应用情况</w:t>
            </w:r>
          </w:p>
        </w:tc>
        <w:tc>
          <w:tcPr>
            <w:tcW w:w="6400" w:type="dxa"/>
            <w:gridSpan w:val="3"/>
            <w:tcBorders>
              <w:top w:val="single" w:color="auto" w:sz="4" w:space="0"/>
              <w:left w:val="single" w:color="auto" w:sz="4" w:space="0"/>
              <w:right w:val="single" w:color="auto" w:sz="4" w:space="0"/>
            </w:tcBorders>
            <w:vAlign w:val="center"/>
          </w:tcPr>
          <w:p w14:paraId="18769B6C">
            <w:pPr>
              <w:widowControl/>
              <w:kinsoku w:val="0"/>
              <w:autoSpaceDE w:val="0"/>
              <w:autoSpaceDN w:val="0"/>
              <w:spacing w:line="560" w:lineRule="exact"/>
              <w:jc w:val="left"/>
              <w:textAlignment w:val="baseline"/>
              <w:rPr>
                <w:rFonts w:ascii="仿宋_GB2312" w:hAnsi="仿宋_GB2312" w:eastAsia="仿宋_GB2312" w:cs="仿宋_GB2312"/>
                <w:bCs/>
                <w:snapToGrid w:val="0"/>
                <w:color w:val="auto"/>
                <w:kern w:val="0"/>
                <w:szCs w:val="21"/>
                <w:highlight w:val="none"/>
              </w:rPr>
            </w:pPr>
            <w:r>
              <w:rPr>
                <w:rFonts w:hint="eastAsia" w:ascii="仿宋_GB2312" w:hAnsi="仿宋_GB2312" w:eastAsia="仿宋_GB2312" w:cs="仿宋_GB2312"/>
                <w:bCs/>
                <w:snapToGrid w:val="0"/>
                <w:color w:val="auto"/>
                <w:kern w:val="0"/>
                <w:szCs w:val="21"/>
                <w:highlight w:val="none"/>
              </w:rPr>
              <w:t>□公有云：</w:t>
            </w:r>
            <w:r>
              <w:rPr>
                <w:rFonts w:hint="eastAsia" w:ascii="仿宋_GB2312" w:hAnsi="仿宋_GB2312" w:eastAsia="仿宋_GB2312" w:cs="仿宋_GB2312"/>
                <w:bCs/>
                <w:snapToGrid w:val="0"/>
                <w:color w:val="auto"/>
                <w:kern w:val="0"/>
                <w:szCs w:val="21"/>
                <w:highlight w:val="none"/>
                <w:u w:val="single"/>
              </w:rPr>
              <w:t xml:space="preserve">         </w:t>
            </w:r>
            <w:r>
              <w:rPr>
                <w:rFonts w:hint="eastAsia" w:ascii="仿宋_GB2312" w:hAnsi="仿宋_GB2312" w:eastAsia="仿宋_GB2312" w:cs="仿宋_GB2312"/>
                <w:bCs/>
                <w:snapToGrid w:val="0"/>
                <w:color w:val="auto"/>
                <w:kern w:val="0"/>
                <w:szCs w:val="21"/>
                <w:highlight w:val="none"/>
                <w:u w:val="single"/>
                <w:lang w:val="en-US" w:eastAsia="zh-CN"/>
              </w:rPr>
              <w:t xml:space="preserve"> </w:t>
            </w:r>
            <w:r>
              <w:rPr>
                <w:rFonts w:hint="eastAsia" w:ascii="仿宋_GB2312" w:hAnsi="仿宋_GB2312" w:eastAsia="仿宋_GB2312" w:cs="仿宋_GB2312"/>
                <w:bCs/>
                <w:snapToGrid w:val="0"/>
                <w:color w:val="auto"/>
                <w:kern w:val="0"/>
                <w:szCs w:val="21"/>
                <w:highlight w:val="none"/>
                <w:u w:val="single"/>
              </w:rPr>
              <w:t xml:space="preserve">    </w:t>
            </w:r>
            <w:r>
              <w:rPr>
                <w:rFonts w:hint="eastAsia" w:ascii="仿宋_GB2312" w:hAnsi="仿宋_GB2312" w:eastAsia="仿宋_GB2312" w:cs="仿宋_GB2312"/>
                <w:bCs/>
                <w:snapToGrid w:val="0"/>
                <w:color w:val="auto"/>
                <w:kern w:val="0"/>
                <w:szCs w:val="21"/>
                <w:highlight w:val="none"/>
              </w:rPr>
              <w:t xml:space="preserve">         □私有云：</w:t>
            </w:r>
            <w:r>
              <w:rPr>
                <w:rFonts w:hint="eastAsia" w:ascii="仿宋_GB2312" w:hAnsi="仿宋_GB2312" w:eastAsia="仿宋_GB2312" w:cs="仿宋_GB2312"/>
                <w:bCs/>
                <w:snapToGrid w:val="0"/>
                <w:color w:val="auto"/>
                <w:kern w:val="0"/>
                <w:szCs w:val="21"/>
                <w:highlight w:val="none"/>
                <w:u w:val="single"/>
                <w:lang w:val="en-US" w:eastAsia="zh-CN"/>
              </w:rPr>
              <w:t xml:space="preserve">  </w:t>
            </w:r>
            <w:r>
              <w:rPr>
                <w:rFonts w:hint="eastAsia" w:ascii="仿宋_GB2312" w:hAnsi="仿宋_GB2312" w:eastAsia="仿宋_GB2312" w:cs="仿宋_GB2312"/>
                <w:bCs/>
                <w:snapToGrid w:val="0"/>
                <w:color w:val="auto"/>
                <w:kern w:val="0"/>
                <w:szCs w:val="21"/>
                <w:highlight w:val="none"/>
                <w:u w:val="single"/>
              </w:rPr>
              <w:t xml:space="preserve"> </w:t>
            </w:r>
            <w:r>
              <w:rPr>
                <w:rFonts w:hint="eastAsia" w:ascii="仿宋_GB2312" w:hAnsi="仿宋_GB2312" w:eastAsia="仿宋_GB2312" w:cs="仿宋_GB2312"/>
                <w:bCs/>
                <w:snapToGrid w:val="0"/>
                <w:color w:val="auto"/>
                <w:kern w:val="0"/>
                <w:szCs w:val="21"/>
                <w:highlight w:val="none"/>
                <w:u w:val="single"/>
                <w:lang w:val="en-US" w:eastAsia="zh-CN"/>
              </w:rPr>
              <w:t xml:space="preserve">          </w:t>
            </w:r>
            <w:r>
              <w:rPr>
                <w:rFonts w:hint="eastAsia" w:ascii="仿宋_GB2312" w:hAnsi="仿宋_GB2312" w:eastAsia="仿宋_GB2312" w:cs="仿宋_GB2312"/>
                <w:bCs/>
                <w:snapToGrid w:val="0"/>
                <w:color w:val="FFFFFF" w:themeColor="background1"/>
                <w:kern w:val="0"/>
                <w:szCs w:val="21"/>
                <w:highlight w:val="none"/>
                <w:u w:val="single"/>
                <w:lang w:eastAsia="zh-CN"/>
              </w:rPr>
              <w:t>：</w:t>
            </w:r>
            <w:r>
              <w:rPr>
                <w:rFonts w:hint="eastAsia" w:ascii="仿宋_GB2312" w:hAnsi="仿宋_GB2312" w:eastAsia="仿宋_GB2312" w:cs="仿宋_GB2312"/>
                <w:bCs/>
                <w:snapToGrid w:val="0"/>
                <w:color w:val="auto"/>
                <w:kern w:val="0"/>
                <w:szCs w:val="21"/>
                <w:highlight w:val="none"/>
                <w:u w:val="single"/>
                <w:lang w:val="en-US" w:eastAsia="zh-CN"/>
              </w:rPr>
              <w:t xml:space="preserve">  </w:t>
            </w:r>
            <w:r>
              <w:rPr>
                <w:rFonts w:hint="eastAsia" w:ascii="仿宋_GB2312" w:hAnsi="仿宋_GB2312" w:eastAsia="仿宋_GB2312" w:cs="仿宋_GB2312"/>
                <w:bCs/>
                <w:snapToGrid w:val="0"/>
                <w:color w:val="auto"/>
                <w:kern w:val="0"/>
                <w:szCs w:val="21"/>
                <w:highlight w:val="none"/>
                <w:u w:val="single"/>
              </w:rPr>
              <w:t xml:space="preserve">  </w:t>
            </w:r>
            <w:r>
              <w:rPr>
                <w:rFonts w:hint="eastAsia" w:ascii="仿宋_GB2312" w:hAnsi="仿宋_GB2312" w:eastAsia="仿宋_GB2312" w:cs="仿宋_GB2312"/>
                <w:bCs/>
                <w:snapToGrid w:val="0"/>
                <w:color w:val="auto"/>
                <w:kern w:val="0"/>
                <w:szCs w:val="21"/>
                <w:highlight w:val="none"/>
                <w:u w:val="none"/>
              </w:rPr>
              <w:t xml:space="preserve">          </w:t>
            </w:r>
            <w:r>
              <w:rPr>
                <w:rFonts w:hint="eastAsia" w:ascii="仿宋_GB2312" w:hAnsi="仿宋_GB2312" w:eastAsia="仿宋_GB2312" w:cs="仿宋_GB2312"/>
                <w:bCs/>
                <w:snapToGrid w:val="0"/>
                <w:color w:val="auto"/>
                <w:kern w:val="0"/>
                <w:szCs w:val="21"/>
                <w:highlight w:val="none"/>
                <w:u w:val="single"/>
              </w:rPr>
              <w:t xml:space="preserve">  </w:t>
            </w:r>
            <w:r>
              <w:rPr>
                <w:rFonts w:hint="eastAsia" w:ascii="仿宋_GB2312" w:hAnsi="仿宋_GB2312" w:eastAsia="仿宋_GB2312" w:cs="仿宋_GB2312"/>
                <w:bCs/>
                <w:snapToGrid w:val="0"/>
                <w:color w:val="auto"/>
                <w:kern w:val="0"/>
                <w:szCs w:val="21"/>
                <w:highlight w:val="none"/>
              </w:rPr>
              <w:t xml:space="preserve"> </w:t>
            </w:r>
            <w:r>
              <w:rPr>
                <w:rFonts w:hint="eastAsia" w:ascii="仿宋_GB2312" w:hAnsi="仿宋_GB2312" w:eastAsia="仿宋_GB2312" w:cs="仿宋_GB2312"/>
                <w:bCs/>
                <w:snapToGrid w:val="0"/>
                <w:color w:val="auto"/>
                <w:kern w:val="0"/>
                <w:szCs w:val="21"/>
                <w:highlight w:val="none"/>
                <w:u w:val="single"/>
                <w:lang w:val="en-US" w:eastAsia="zh-CN"/>
              </w:rPr>
              <w:t xml:space="preserve">  </w:t>
            </w:r>
            <w:r>
              <w:rPr>
                <w:rFonts w:hint="eastAsia" w:ascii="仿宋_GB2312" w:hAnsi="仿宋_GB2312" w:eastAsia="仿宋_GB2312" w:cs="仿宋_GB2312"/>
                <w:bCs/>
                <w:snapToGrid w:val="0"/>
                <w:color w:val="auto"/>
                <w:kern w:val="0"/>
                <w:szCs w:val="21"/>
                <w:highlight w:val="none"/>
                <w:u w:val="single"/>
              </w:rPr>
              <w:t xml:space="preserve">   </w:t>
            </w:r>
            <w:r>
              <w:rPr>
                <w:rFonts w:hint="eastAsia" w:ascii="仿宋_GB2312" w:hAnsi="仿宋_GB2312" w:eastAsia="仿宋_GB2312" w:cs="仿宋_GB2312"/>
                <w:bCs/>
                <w:snapToGrid w:val="0"/>
                <w:color w:val="auto"/>
                <w:kern w:val="0"/>
                <w:szCs w:val="21"/>
                <w:highlight w:val="none"/>
                <w:u w:val="single"/>
                <w:lang w:val="en-US" w:eastAsia="zh-CN"/>
              </w:rPr>
              <w:t xml:space="preserve">    </w:t>
            </w:r>
            <w:r>
              <w:rPr>
                <w:rFonts w:hint="eastAsia" w:ascii="仿宋_GB2312" w:hAnsi="仿宋_GB2312" w:eastAsia="仿宋_GB2312" w:cs="仿宋_GB2312"/>
                <w:bCs/>
                <w:snapToGrid w:val="0"/>
                <w:color w:val="auto"/>
                <w:kern w:val="0"/>
                <w:szCs w:val="21"/>
                <w:highlight w:val="none"/>
                <w:u w:val="single"/>
              </w:rPr>
              <w:t xml:space="preserve">             </w:t>
            </w:r>
          </w:p>
          <w:p w14:paraId="3801D4E1">
            <w:pPr>
              <w:widowControl/>
              <w:kinsoku w:val="0"/>
              <w:autoSpaceDE w:val="0"/>
              <w:autoSpaceDN w:val="0"/>
              <w:spacing w:line="560" w:lineRule="exact"/>
              <w:jc w:val="left"/>
              <w:textAlignment w:val="baseline"/>
              <w:rPr>
                <w:rFonts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Cs/>
                <w:snapToGrid w:val="0"/>
                <w:color w:val="auto"/>
                <w:kern w:val="0"/>
                <w:szCs w:val="21"/>
                <w:highlight w:val="none"/>
              </w:rPr>
              <w:t>□混合云：</w:t>
            </w:r>
            <w:r>
              <w:rPr>
                <w:rFonts w:hint="eastAsia" w:ascii="仿宋_GB2312" w:hAnsi="仿宋_GB2312" w:eastAsia="仿宋_GB2312" w:cs="仿宋_GB2312"/>
                <w:bCs/>
                <w:snapToGrid w:val="0"/>
                <w:color w:val="auto"/>
                <w:kern w:val="0"/>
                <w:szCs w:val="21"/>
                <w:highlight w:val="none"/>
                <w:u w:val="single"/>
              </w:rPr>
              <w:t xml:space="preserve">              </w:t>
            </w:r>
            <w:r>
              <w:rPr>
                <w:rFonts w:hint="eastAsia" w:ascii="仿宋_GB2312" w:hAnsi="仿宋_GB2312" w:eastAsia="仿宋_GB2312" w:cs="仿宋_GB2312"/>
                <w:bCs/>
                <w:snapToGrid w:val="0"/>
                <w:color w:val="auto"/>
                <w:kern w:val="0"/>
                <w:szCs w:val="21"/>
                <w:highlight w:val="none"/>
              </w:rPr>
              <w:t xml:space="preserve">         □未上云</w:t>
            </w:r>
          </w:p>
        </w:tc>
      </w:tr>
      <w:tr w14:paraId="47E4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18" w:type="dxa"/>
            <w:tcBorders>
              <w:top w:val="single" w:color="auto" w:sz="4" w:space="0"/>
              <w:left w:val="single" w:color="auto" w:sz="4" w:space="0"/>
              <w:right w:val="single" w:color="auto" w:sz="4" w:space="0"/>
            </w:tcBorders>
            <w:vAlign w:val="center"/>
          </w:tcPr>
          <w:p w14:paraId="3570D7D0">
            <w:pPr>
              <w:widowControl/>
              <w:kinsoku w:val="0"/>
              <w:autoSpaceDE w:val="0"/>
              <w:autoSpaceDN w:val="0"/>
              <w:spacing w:line="560" w:lineRule="exact"/>
              <w:jc w:val="left"/>
              <w:textAlignment w:val="baseline"/>
              <w:rPr>
                <w:rFonts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snapToGrid w:val="0"/>
                <w:color w:val="auto"/>
                <w:kern w:val="0"/>
                <w:szCs w:val="21"/>
                <w:highlight w:val="none"/>
              </w:rPr>
              <w:t>改造项目起止时间</w:t>
            </w:r>
          </w:p>
        </w:tc>
        <w:tc>
          <w:tcPr>
            <w:tcW w:w="6400" w:type="dxa"/>
            <w:gridSpan w:val="3"/>
            <w:tcBorders>
              <w:top w:val="single" w:color="auto" w:sz="4" w:space="0"/>
              <w:left w:val="single" w:color="auto" w:sz="4" w:space="0"/>
              <w:right w:val="single" w:color="auto" w:sz="4" w:space="0"/>
            </w:tcBorders>
            <w:vAlign w:val="center"/>
          </w:tcPr>
          <w:p w14:paraId="2DACADFF">
            <w:pPr>
              <w:widowControl/>
              <w:kinsoku w:val="0"/>
              <w:autoSpaceDE w:val="0"/>
              <w:autoSpaceDN w:val="0"/>
              <w:adjustRightInd w:val="0"/>
              <w:spacing w:line="560" w:lineRule="exact"/>
              <w:jc w:val="left"/>
              <w:textAlignment w:val="baseline"/>
              <w:rPr>
                <w:rFonts w:ascii="仿宋_GB2312" w:hAnsi="仿宋_GB2312" w:eastAsia="仿宋_GB2312" w:cs="仿宋_GB2312"/>
                <w:b/>
                <w:snapToGrid w:val="0"/>
                <w:color w:val="auto"/>
                <w:kern w:val="0"/>
                <w:sz w:val="28"/>
                <w:szCs w:val="28"/>
                <w:highlight w:val="none"/>
              </w:rPr>
            </w:pPr>
          </w:p>
        </w:tc>
      </w:tr>
      <w:tr w14:paraId="0A06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18" w:type="dxa"/>
            <w:tcBorders>
              <w:top w:val="single" w:color="auto" w:sz="4" w:space="0"/>
              <w:left w:val="single" w:color="auto" w:sz="4" w:space="0"/>
              <w:right w:val="single" w:color="auto" w:sz="4" w:space="0"/>
            </w:tcBorders>
            <w:vAlign w:val="center"/>
          </w:tcPr>
          <w:p w14:paraId="0A0DBC76">
            <w:pPr>
              <w:widowControl/>
              <w:kinsoku w:val="0"/>
              <w:autoSpaceDE w:val="0"/>
              <w:autoSpaceDN w:val="0"/>
              <w:spacing w:line="560" w:lineRule="exact"/>
              <w:jc w:val="left"/>
              <w:textAlignment w:val="baseline"/>
              <w:rPr>
                <w:rFonts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snapToGrid w:val="0"/>
                <w:color w:val="auto"/>
                <w:kern w:val="0"/>
                <w:szCs w:val="21"/>
                <w:highlight w:val="none"/>
              </w:rPr>
              <w:t>改造总花费（万元）</w:t>
            </w:r>
          </w:p>
        </w:tc>
        <w:tc>
          <w:tcPr>
            <w:tcW w:w="6400" w:type="dxa"/>
            <w:gridSpan w:val="3"/>
            <w:tcBorders>
              <w:top w:val="single" w:color="auto" w:sz="4" w:space="0"/>
              <w:left w:val="single" w:color="auto" w:sz="4" w:space="0"/>
              <w:right w:val="single" w:color="auto" w:sz="4" w:space="0"/>
            </w:tcBorders>
            <w:vAlign w:val="center"/>
          </w:tcPr>
          <w:p w14:paraId="5197F043">
            <w:pPr>
              <w:widowControl/>
              <w:kinsoku w:val="0"/>
              <w:autoSpaceDE w:val="0"/>
              <w:autoSpaceDN w:val="0"/>
              <w:adjustRightInd w:val="0"/>
              <w:spacing w:line="560" w:lineRule="exact"/>
              <w:jc w:val="left"/>
              <w:textAlignment w:val="baseline"/>
              <w:rPr>
                <w:rFonts w:ascii="仿宋_GB2312" w:hAnsi="仿宋_GB2312" w:eastAsia="仿宋_GB2312" w:cs="仿宋_GB2312"/>
                <w:b/>
                <w:snapToGrid w:val="0"/>
                <w:color w:val="auto"/>
                <w:kern w:val="0"/>
                <w:sz w:val="28"/>
                <w:szCs w:val="28"/>
                <w:highlight w:val="none"/>
              </w:rPr>
            </w:pPr>
          </w:p>
        </w:tc>
      </w:tr>
      <w:tr w14:paraId="2A96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18" w:type="dxa"/>
            <w:vMerge w:val="restart"/>
            <w:tcBorders>
              <w:top w:val="single" w:color="auto" w:sz="4" w:space="0"/>
              <w:left w:val="single" w:color="auto" w:sz="4" w:space="0"/>
              <w:right w:val="single" w:color="auto" w:sz="4" w:space="0"/>
            </w:tcBorders>
            <w:vAlign w:val="center"/>
          </w:tcPr>
          <w:p w14:paraId="2A1982E4">
            <w:pPr>
              <w:widowControl/>
              <w:kinsoku w:val="0"/>
              <w:autoSpaceDE w:val="0"/>
              <w:autoSpaceDN w:val="0"/>
              <w:adjustRightInd w:val="0"/>
              <w:spacing w:line="560" w:lineRule="exact"/>
              <w:jc w:val="center"/>
              <w:textAlignment w:val="baseline"/>
              <w:rPr>
                <w:rFonts w:ascii="仿宋_GB2312" w:hAnsi="仿宋_GB2312" w:eastAsia="仿宋_GB2312" w:cs="仿宋_GB2312"/>
                <w:b/>
                <w:snapToGrid w:val="0"/>
                <w:color w:val="auto"/>
                <w:kern w:val="0"/>
                <w:szCs w:val="21"/>
                <w:highlight w:val="none"/>
              </w:rPr>
            </w:pPr>
            <w:r>
              <w:rPr>
                <w:rFonts w:hint="eastAsia" w:ascii="仿宋_GB2312" w:hAnsi="仿宋_GB2312" w:eastAsia="仿宋_GB2312" w:cs="仿宋_GB2312"/>
                <w:b/>
                <w:snapToGrid w:val="0"/>
                <w:color w:val="auto"/>
                <w:kern w:val="0"/>
                <w:szCs w:val="21"/>
                <w:highlight w:val="none"/>
              </w:rPr>
              <w:t>数字化改造成效</w:t>
            </w:r>
          </w:p>
        </w:tc>
        <w:tc>
          <w:tcPr>
            <w:tcW w:w="4136" w:type="dxa"/>
            <w:tcBorders>
              <w:top w:val="single" w:color="auto" w:sz="4" w:space="0"/>
              <w:left w:val="single" w:color="auto" w:sz="4" w:space="0"/>
              <w:right w:val="single" w:color="auto" w:sz="4" w:space="0"/>
            </w:tcBorders>
            <w:vAlign w:val="center"/>
          </w:tcPr>
          <w:p w14:paraId="77578036">
            <w:pPr>
              <w:widowControl/>
              <w:kinsoku w:val="0"/>
              <w:autoSpaceDE w:val="0"/>
              <w:autoSpaceDN w:val="0"/>
              <w:adjustRightInd w:val="0"/>
              <w:spacing w:line="560" w:lineRule="exact"/>
              <w:jc w:val="center"/>
              <w:textAlignment w:val="baseline"/>
              <w:rPr>
                <w:rFonts w:ascii="仿宋_GB2312" w:hAnsi="仿宋_GB2312" w:eastAsia="仿宋_GB2312" w:cs="仿宋_GB2312"/>
                <w:b/>
                <w:snapToGrid w:val="0"/>
                <w:color w:val="auto"/>
                <w:kern w:val="0"/>
                <w:szCs w:val="21"/>
                <w:highlight w:val="none"/>
              </w:rPr>
            </w:pPr>
            <w:r>
              <w:rPr>
                <w:rFonts w:hint="eastAsia" w:ascii="仿宋_GB2312" w:hAnsi="仿宋_GB2312" w:eastAsia="仿宋_GB2312" w:cs="仿宋_GB2312"/>
                <w:b/>
                <w:snapToGrid w:val="0"/>
                <w:color w:val="auto"/>
                <w:kern w:val="0"/>
                <w:szCs w:val="21"/>
                <w:highlight w:val="none"/>
              </w:rPr>
              <w:t>改造阶段</w:t>
            </w:r>
          </w:p>
        </w:tc>
        <w:tc>
          <w:tcPr>
            <w:tcW w:w="1189" w:type="dxa"/>
            <w:tcBorders>
              <w:top w:val="single" w:color="auto" w:sz="4" w:space="0"/>
              <w:left w:val="single" w:color="auto" w:sz="4" w:space="0"/>
              <w:right w:val="single" w:color="auto" w:sz="4" w:space="0"/>
            </w:tcBorders>
            <w:vAlign w:val="center"/>
          </w:tcPr>
          <w:p w14:paraId="19D0EA53">
            <w:pPr>
              <w:widowControl/>
              <w:kinsoku w:val="0"/>
              <w:autoSpaceDE w:val="0"/>
              <w:autoSpaceDN w:val="0"/>
              <w:adjustRightInd w:val="0"/>
              <w:spacing w:line="560" w:lineRule="exact"/>
              <w:jc w:val="center"/>
              <w:textAlignment w:val="baseline"/>
              <w:rPr>
                <w:rFonts w:ascii="仿宋_GB2312" w:hAnsi="仿宋_GB2312" w:eastAsia="仿宋_GB2312" w:cs="仿宋_GB2312"/>
                <w:b/>
                <w:snapToGrid w:val="0"/>
                <w:color w:val="auto"/>
                <w:kern w:val="0"/>
                <w:szCs w:val="21"/>
                <w:highlight w:val="none"/>
              </w:rPr>
            </w:pPr>
            <w:r>
              <w:rPr>
                <w:rFonts w:hint="eastAsia" w:ascii="仿宋_GB2312" w:hAnsi="仿宋_GB2312" w:eastAsia="仿宋_GB2312" w:cs="仿宋_GB2312"/>
                <w:b/>
                <w:snapToGrid w:val="0"/>
                <w:color w:val="auto"/>
                <w:kern w:val="0"/>
                <w:szCs w:val="21"/>
                <w:highlight w:val="none"/>
              </w:rPr>
              <w:t>改造前</w:t>
            </w:r>
          </w:p>
        </w:tc>
        <w:tc>
          <w:tcPr>
            <w:tcW w:w="1075" w:type="dxa"/>
            <w:tcBorders>
              <w:top w:val="single" w:color="auto" w:sz="4" w:space="0"/>
              <w:left w:val="single" w:color="auto" w:sz="4" w:space="0"/>
              <w:right w:val="single" w:color="auto" w:sz="4" w:space="0"/>
            </w:tcBorders>
            <w:vAlign w:val="center"/>
          </w:tcPr>
          <w:p w14:paraId="4BCD6CC1">
            <w:pPr>
              <w:widowControl/>
              <w:kinsoku w:val="0"/>
              <w:autoSpaceDE w:val="0"/>
              <w:autoSpaceDN w:val="0"/>
              <w:adjustRightInd w:val="0"/>
              <w:spacing w:line="560" w:lineRule="exact"/>
              <w:jc w:val="center"/>
              <w:textAlignment w:val="baseline"/>
              <w:rPr>
                <w:rFonts w:ascii="仿宋_GB2312" w:hAnsi="仿宋_GB2312" w:eastAsia="仿宋_GB2312" w:cs="仿宋_GB2312"/>
                <w:b/>
                <w:snapToGrid w:val="0"/>
                <w:color w:val="auto"/>
                <w:kern w:val="0"/>
                <w:szCs w:val="21"/>
                <w:highlight w:val="none"/>
              </w:rPr>
            </w:pPr>
            <w:r>
              <w:rPr>
                <w:rFonts w:hint="eastAsia" w:ascii="仿宋_GB2312" w:hAnsi="仿宋_GB2312" w:eastAsia="仿宋_GB2312" w:cs="仿宋_GB2312"/>
                <w:b/>
                <w:snapToGrid w:val="0"/>
                <w:color w:val="auto"/>
                <w:kern w:val="0"/>
                <w:szCs w:val="21"/>
                <w:highlight w:val="none"/>
              </w:rPr>
              <w:t>改造后</w:t>
            </w:r>
          </w:p>
        </w:tc>
      </w:tr>
      <w:tr w14:paraId="247A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18" w:type="dxa"/>
            <w:vMerge w:val="continue"/>
            <w:tcBorders>
              <w:left w:val="single" w:color="auto" w:sz="4" w:space="0"/>
              <w:right w:val="single" w:color="auto" w:sz="4" w:space="0"/>
            </w:tcBorders>
            <w:vAlign w:val="center"/>
          </w:tcPr>
          <w:p w14:paraId="79BFBAE7">
            <w:pPr>
              <w:widowControl/>
              <w:kinsoku w:val="0"/>
              <w:autoSpaceDE w:val="0"/>
              <w:autoSpaceDN w:val="0"/>
              <w:adjustRightInd w:val="0"/>
              <w:spacing w:line="560" w:lineRule="exact"/>
              <w:jc w:val="center"/>
              <w:textAlignment w:val="baseline"/>
              <w:rPr>
                <w:rFonts w:ascii="仿宋_GB2312" w:hAnsi="仿宋_GB2312" w:eastAsia="仿宋_GB2312" w:cs="仿宋_GB2312"/>
                <w:b/>
                <w:snapToGrid w:val="0"/>
                <w:color w:val="auto"/>
                <w:kern w:val="0"/>
                <w:szCs w:val="21"/>
                <w:highlight w:val="none"/>
              </w:rPr>
            </w:pPr>
          </w:p>
        </w:tc>
        <w:tc>
          <w:tcPr>
            <w:tcW w:w="4136" w:type="dxa"/>
            <w:tcBorders>
              <w:top w:val="single" w:color="auto" w:sz="4" w:space="0"/>
              <w:left w:val="single" w:color="auto" w:sz="4" w:space="0"/>
              <w:right w:val="single" w:color="auto" w:sz="4" w:space="0"/>
            </w:tcBorders>
            <w:vAlign w:val="center"/>
          </w:tcPr>
          <w:p w14:paraId="0017BA66">
            <w:pPr>
              <w:widowControl/>
              <w:kinsoku w:val="0"/>
              <w:autoSpaceDE w:val="0"/>
              <w:autoSpaceDN w:val="0"/>
              <w:adjustRightInd w:val="0"/>
              <w:spacing w:line="560" w:lineRule="exact"/>
              <w:jc w:val="center"/>
              <w:textAlignment w:val="baseline"/>
              <w:rPr>
                <w:rFonts w:ascii="仿宋_GB2312" w:hAnsi="仿宋_GB2312" w:eastAsia="仿宋_GB2312" w:cs="仿宋_GB2312"/>
                <w:b/>
                <w:snapToGrid w:val="0"/>
                <w:color w:val="auto"/>
                <w:kern w:val="0"/>
                <w:szCs w:val="21"/>
                <w:highlight w:val="none"/>
              </w:rPr>
            </w:pPr>
            <w:r>
              <w:rPr>
                <w:rFonts w:hint="eastAsia" w:ascii="仿宋_GB2312" w:hAnsi="仿宋_GB2312" w:eastAsia="仿宋_GB2312" w:cs="仿宋_GB2312"/>
                <w:b/>
                <w:snapToGrid w:val="0"/>
                <w:color w:val="auto"/>
                <w:kern w:val="0"/>
                <w:szCs w:val="21"/>
                <w:highlight w:val="none"/>
              </w:rPr>
              <w:t>数字化水平等级</w:t>
            </w:r>
          </w:p>
        </w:tc>
        <w:tc>
          <w:tcPr>
            <w:tcW w:w="1189" w:type="dxa"/>
            <w:tcBorders>
              <w:top w:val="single" w:color="auto" w:sz="4" w:space="0"/>
              <w:left w:val="single" w:color="auto" w:sz="4" w:space="0"/>
              <w:right w:val="single" w:color="auto" w:sz="4" w:space="0"/>
            </w:tcBorders>
            <w:vAlign w:val="center"/>
          </w:tcPr>
          <w:p w14:paraId="2D0EDF1F">
            <w:pPr>
              <w:widowControl/>
              <w:kinsoku w:val="0"/>
              <w:autoSpaceDE w:val="0"/>
              <w:autoSpaceDN w:val="0"/>
              <w:adjustRightInd w:val="0"/>
              <w:spacing w:line="560" w:lineRule="exact"/>
              <w:jc w:val="left"/>
              <w:textAlignment w:val="baseline"/>
              <w:rPr>
                <w:rFonts w:ascii="仿宋_GB2312" w:hAnsi="仿宋_GB2312" w:eastAsia="仿宋_GB2312" w:cs="仿宋_GB2312"/>
                <w:b/>
                <w:snapToGrid w:val="0"/>
                <w:color w:val="auto"/>
                <w:kern w:val="0"/>
                <w:szCs w:val="21"/>
                <w:highlight w:val="none"/>
              </w:rPr>
            </w:pPr>
          </w:p>
        </w:tc>
        <w:tc>
          <w:tcPr>
            <w:tcW w:w="1075" w:type="dxa"/>
            <w:tcBorders>
              <w:top w:val="single" w:color="auto" w:sz="4" w:space="0"/>
              <w:left w:val="single" w:color="auto" w:sz="4" w:space="0"/>
              <w:right w:val="single" w:color="auto" w:sz="4" w:space="0"/>
            </w:tcBorders>
            <w:vAlign w:val="center"/>
          </w:tcPr>
          <w:p w14:paraId="7163EC4F">
            <w:pPr>
              <w:widowControl/>
              <w:kinsoku w:val="0"/>
              <w:autoSpaceDE w:val="0"/>
              <w:autoSpaceDN w:val="0"/>
              <w:adjustRightInd w:val="0"/>
              <w:spacing w:line="560" w:lineRule="exact"/>
              <w:jc w:val="left"/>
              <w:textAlignment w:val="baseline"/>
              <w:rPr>
                <w:rFonts w:ascii="仿宋_GB2312" w:hAnsi="仿宋_GB2312" w:eastAsia="仿宋_GB2312" w:cs="仿宋_GB2312"/>
                <w:b/>
                <w:snapToGrid w:val="0"/>
                <w:color w:val="auto"/>
                <w:kern w:val="0"/>
                <w:szCs w:val="21"/>
                <w:highlight w:val="none"/>
              </w:rPr>
            </w:pPr>
          </w:p>
        </w:tc>
      </w:tr>
      <w:tr w14:paraId="2419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18" w:type="dxa"/>
            <w:vMerge w:val="continue"/>
            <w:tcBorders>
              <w:left w:val="single" w:color="auto" w:sz="4" w:space="0"/>
              <w:right w:val="single" w:color="auto" w:sz="4" w:space="0"/>
            </w:tcBorders>
            <w:vAlign w:val="center"/>
          </w:tcPr>
          <w:p w14:paraId="580203A5">
            <w:pPr>
              <w:widowControl/>
              <w:kinsoku w:val="0"/>
              <w:autoSpaceDE w:val="0"/>
              <w:autoSpaceDN w:val="0"/>
              <w:adjustRightInd w:val="0"/>
              <w:jc w:val="center"/>
              <w:textAlignment w:val="baseline"/>
              <w:rPr>
                <w:rFonts w:ascii="仿宋_GB2312" w:hAnsi="仿宋_GB2312" w:eastAsia="仿宋_GB2312" w:cs="仿宋_GB2312"/>
                <w:b/>
                <w:snapToGrid w:val="0"/>
                <w:color w:val="auto"/>
                <w:kern w:val="0"/>
                <w:szCs w:val="21"/>
                <w:highlight w:val="none"/>
              </w:rPr>
            </w:pPr>
          </w:p>
        </w:tc>
        <w:tc>
          <w:tcPr>
            <w:tcW w:w="4136" w:type="dxa"/>
            <w:tcBorders>
              <w:left w:val="single" w:color="auto" w:sz="4" w:space="0"/>
              <w:right w:val="single" w:color="auto" w:sz="4" w:space="0"/>
            </w:tcBorders>
            <w:vAlign w:val="center"/>
          </w:tcPr>
          <w:p w14:paraId="340EF973">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创新方面成效</w:t>
            </w:r>
          </w:p>
          <w:p w14:paraId="1F1D300F">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（请尽量用若干定量指标描述）</w:t>
            </w:r>
          </w:p>
        </w:tc>
        <w:tc>
          <w:tcPr>
            <w:tcW w:w="1189" w:type="dxa"/>
            <w:tcBorders>
              <w:top w:val="single" w:color="auto" w:sz="4" w:space="0"/>
              <w:left w:val="single" w:color="auto" w:sz="4" w:space="0"/>
              <w:right w:val="single" w:color="auto" w:sz="4" w:space="0"/>
            </w:tcBorders>
            <w:vAlign w:val="center"/>
          </w:tcPr>
          <w:p w14:paraId="52CB5A6E">
            <w:pPr>
              <w:widowControl/>
              <w:kinsoku w:val="0"/>
              <w:autoSpaceDE w:val="0"/>
              <w:autoSpaceDN w:val="0"/>
              <w:adjustRightInd w:val="0"/>
              <w:jc w:val="left"/>
              <w:textAlignment w:val="baseline"/>
              <w:rPr>
                <w:rFonts w:ascii="仿宋_GB2312" w:hAnsi="仿宋_GB2312" w:eastAsia="仿宋_GB2312" w:cs="仿宋_GB2312"/>
                <w:bCs/>
                <w:snapToGrid w:val="0"/>
                <w:color w:val="auto"/>
                <w:kern w:val="0"/>
                <w:szCs w:val="21"/>
                <w:highlight w:val="none"/>
              </w:rPr>
            </w:pPr>
          </w:p>
        </w:tc>
        <w:tc>
          <w:tcPr>
            <w:tcW w:w="1075" w:type="dxa"/>
            <w:tcBorders>
              <w:top w:val="single" w:color="auto" w:sz="4" w:space="0"/>
              <w:left w:val="single" w:color="auto" w:sz="4" w:space="0"/>
              <w:right w:val="single" w:color="auto" w:sz="4" w:space="0"/>
            </w:tcBorders>
            <w:vAlign w:val="center"/>
          </w:tcPr>
          <w:p w14:paraId="58A1BEEE">
            <w:pPr>
              <w:widowControl/>
              <w:kinsoku w:val="0"/>
              <w:autoSpaceDE w:val="0"/>
              <w:autoSpaceDN w:val="0"/>
              <w:adjustRightInd w:val="0"/>
              <w:jc w:val="left"/>
              <w:textAlignment w:val="baseline"/>
              <w:rPr>
                <w:rFonts w:ascii="仿宋_GB2312" w:hAnsi="仿宋_GB2312" w:eastAsia="仿宋_GB2312" w:cs="仿宋_GB2312"/>
                <w:bCs/>
                <w:snapToGrid w:val="0"/>
                <w:color w:val="auto"/>
                <w:kern w:val="0"/>
                <w:szCs w:val="21"/>
                <w:highlight w:val="none"/>
              </w:rPr>
            </w:pPr>
          </w:p>
        </w:tc>
      </w:tr>
      <w:tr w14:paraId="2891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18" w:type="dxa"/>
            <w:vMerge w:val="continue"/>
            <w:tcBorders>
              <w:left w:val="single" w:color="auto" w:sz="4" w:space="0"/>
              <w:right w:val="single" w:color="auto" w:sz="4" w:space="0"/>
            </w:tcBorders>
            <w:vAlign w:val="center"/>
          </w:tcPr>
          <w:p w14:paraId="1E6CED73">
            <w:pPr>
              <w:widowControl/>
              <w:kinsoku w:val="0"/>
              <w:autoSpaceDE w:val="0"/>
              <w:autoSpaceDN w:val="0"/>
              <w:adjustRightInd w:val="0"/>
              <w:textAlignment w:val="baseline"/>
              <w:rPr>
                <w:color w:val="auto"/>
                <w:highlight w:val="none"/>
              </w:rPr>
            </w:pPr>
          </w:p>
        </w:tc>
        <w:tc>
          <w:tcPr>
            <w:tcW w:w="4136" w:type="dxa"/>
            <w:tcBorders>
              <w:left w:val="single" w:color="auto" w:sz="4" w:space="0"/>
              <w:right w:val="single" w:color="auto" w:sz="4" w:space="0"/>
            </w:tcBorders>
            <w:vAlign w:val="center"/>
          </w:tcPr>
          <w:p w14:paraId="18DE8D0A">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市场方面成效</w:t>
            </w:r>
          </w:p>
          <w:p w14:paraId="4DE8594A">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（请尽量用若干定量指标描述）</w:t>
            </w:r>
          </w:p>
        </w:tc>
        <w:tc>
          <w:tcPr>
            <w:tcW w:w="1189" w:type="dxa"/>
            <w:tcBorders>
              <w:left w:val="single" w:color="auto" w:sz="4" w:space="0"/>
              <w:right w:val="single" w:color="auto" w:sz="4" w:space="0"/>
            </w:tcBorders>
            <w:vAlign w:val="center"/>
          </w:tcPr>
          <w:p w14:paraId="5C8B1D02">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1075" w:type="dxa"/>
            <w:tcBorders>
              <w:left w:val="single" w:color="auto" w:sz="4" w:space="0"/>
              <w:right w:val="single" w:color="auto" w:sz="4" w:space="0"/>
            </w:tcBorders>
            <w:vAlign w:val="center"/>
          </w:tcPr>
          <w:p w14:paraId="5FAD9545">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r>
      <w:tr w14:paraId="618C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118" w:type="dxa"/>
            <w:vMerge w:val="continue"/>
            <w:tcBorders>
              <w:left w:val="single" w:color="auto" w:sz="4" w:space="0"/>
              <w:right w:val="single" w:color="auto" w:sz="4" w:space="0"/>
            </w:tcBorders>
            <w:vAlign w:val="center"/>
          </w:tcPr>
          <w:p w14:paraId="3A890602">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4136" w:type="dxa"/>
            <w:tcBorders>
              <w:left w:val="single" w:color="auto" w:sz="4" w:space="0"/>
              <w:right w:val="single" w:color="auto" w:sz="4" w:space="0"/>
            </w:tcBorders>
            <w:vAlign w:val="center"/>
          </w:tcPr>
          <w:p w14:paraId="4C3DFF40">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提质方面成效</w:t>
            </w:r>
          </w:p>
          <w:p w14:paraId="1EB3E156">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（请尽量用若干定量指标描述）</w:t>
            </w:r>
          </w:p>
        </w:tc>
        <w:tc>
          <w:tcPr>
            <w:tcW w:w="1189" w:type="dxa"/>
            <w:tcBorders>
              <w:left w:val="single" w:color="auto" w:sz="4" w:space="0"/>
              <w:right w:val="single" w:color="auto" w:sz="4" w:space="0"/>
            </w:tcBorders>
            <w:vAlign w:val="center"/>
          </w:tcPr>
          <w:p w14:paraId="2F627D14">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1075" w:type="dxa"/>
            <w:tcBorders>
              <w:left w:val="single" w:color="auto" w:sz="4" w:space="0"/>
              <w:right w:val="single" w:color="auto" w:sz="4" w:space="0"/>
            </w:tcBorders>
            <w:vAlign w:val="center"/>
          </w:tcPr>
          <w:p w14:paraId="71A4E662">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r>
      <w:tr w14:paraId="27C7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18" w:type="dxa"/>
            <w:vMerge w:val="continue"/>
            <w:tcBorders>
              <w:left w:val="single" w:color="auto" w:sz="4" w:space="0"/>
              <w:right w:val="single" w:color="auto" w:sz="4" w:space="0"/>
            </w:tcBorders>
            <w:vAlign w:val="center"/>
          </w:tcPr>
          <w:p w14:paraId="010A4CDE">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4136" w:type="dxa"/>
            <w:tcBorders>
              <w:left w:val="single" w:color="auto" w:sz="4" w:space="0"/>
              <w:right w:val="single" w:color="auto" w:sz="4" w:space="0"/>
            </w:tcBorders>
            <w:vAlign w:val="center"/>
          </w:tcPr>
          <w:p w14:paraId="74D4A303">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降本方面成效</w:t>
            </w:r>
          </w:p>
          <w:p w14:paraId="24A776ED">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（请尽量用若干定量指标描述）</w:t>
            </w:r>
          </w:p>
        </w:tc>
        <w:tc>
          <w:tcPr>
            <w:tcW w:w="1189" w:type="dxa"/>
            <w:tcBorders>
              <w:left w:val="single" w:color="auto" w:sz="4" w:space="0"/>
              <w:right w:val="single" w:color="auto" w:sz="4" w:space="0"/>
            </w:tcBorders>
            <w:vAlign w:val="center"/>
          </w:tcPr>
          <w:p w14:paraId="0B6A3AFB">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1075" w:type="dxa"/>
            <w:tcBorders>
              <w:left w:val="single" w:color="auto" w:sz="4" w:space="0"/>
              <w:right w:val="single" w:color="auto" w:sz="4" w:space="0"/>
            </w:tcBorders>
            <w:vAlign w:val="center"/>
          </w:tcPr>
          <w:p w14:paraId="600FE3BF">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r>
      <w:tr w14:paraId="5969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118" w:type="dxa"/>
            <w:vMerge w:val="continue"/>
            <w:tcBorders>
              <w:left w:val="single" w:color="auto" w:sz="4" w:space="0"/>
              <w:right w:val="single" w:color="auto" w:sz="4" w:space="0"/>
            </w:tcBorders>
            <w:vAlign w:val="center"/>
          </w:tcPr>
          <w:p w14:paraId="14D4F3C3">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4136" w:type="dxa"/>
            <w:tcBorders>
              <w:left w:val="single" w:color="auto" w:sz="4" w:space="0"/>
              <w:right w:val="single" w:color="auto" w:sz="4" w:space="0"/>
            </w:tcBorders>
            <w:vAlign w:val="center"/>
          </w:tcPr>
          <w:p w14:paraId="7F51795F">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增效方面成效</w:t>
            </w:r>
          </w:p>
          <w:p w14:paraId="297D2F7D">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（请尽量用若干定量指标描述）</w:t>
            </w:r>
          </w:p>
        </w:tc>
        <w:tc>
          <w:tcPr>
            <w:tcW w:w="1189" w:type="dxa"/>
            <w:tcBorders>
              <w:left w:val="single" w:color="auto" w:sz="4" w:space="0"/>
              <w:right w:val="single" w:color="auto" w:sz="4" w:space="0"/>
            </w:tcBorders>
            <w:vAlign w:val="center"/>
          </w:tcPr>
          <w:p w14:paraId="4AEEAA06">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1075" w:type="dxa"/>
            <w:tcBorders>
              <w:left w:val="single" w:color="auto" w:sz="4" w:space="0"/>
              <w:right w:val="single" w:color="auto" w:sz="4" w:space="0"/>
            </w:tcBorders>
            <w:vAlign w:val="center"/>
          </w:tcPr>
          <w:p w14:paraId="103EAC24">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r>
      <w:tr w14:paraId="6063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18" w:type="dxa"/>
            <w:vMerge w:val="continue"/>
            <w:tcBorders>
              <w:left w:val="single" w:color="auto" w:sz="4" w:space="0"/>
              <w:right w:val="single" w:color="auto" w:sz="4" w:space="0"/>
            </w:tcBorders>
            <w:vAlign w:val="center"/>
          </w:tcPr>
          <w:p w14:paraId="3C3C4982">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4136" w:type="dxa"/>
            <w:tcBorders>
              <w:left w:val="single" w:color="auto" w:sz="4" w:space="0"/>
              <w:right w:val="single" w:color="auto" w:sz="4" w:space="0"/>
            </w:tcBorders>
            <w:vAlign w:val="center"/>
          </w:tcPr>
          <w:p w14:paraId="35DC5FBF">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绿色方面成效</w:t>
            </w:r>
          </w:p>
          <w:p w14:paraId="561969A9">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（请尽量用若干定量指标描述）</w:t>
            </w:r>
          </w:p>
        </w:tc>
        <w:tc>
          <w:tcPr>
            <w:tcW w:w="1189" w:type="dxa"/>
            <w:tcBorders>
              <w:left w:val="single" w:color="auto" w:sz="4" w:space="0"/>
              <w:right w:val="single" w:color="auto" w:sz="4" w:space="0"/>
            </w:tcBorders>
            <w:vAlign w:val="center"/>
          </w:tcPr>
          <w:p w14:paraId="78D95014">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1075" w:type="dxa"/>
            <w:tcBorders>
              <w:left w:val="single" w:color="auto" w:sz="4" w:space="0"/>
              <w:right w:val="single" w:color="auto" w:sz="4" w:space="0"/>
            </w:tcBorders>
            <w:vAlign w:val="center"/>
          </w:tcPr>
          <w:p w14:paraId="2321E2EF">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r>
      <w:tr w14:paraId="1286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18" w:type="dxa"/>
            <w:vMerge w:val="continue"/>
            <w:tcBorders>
              <w:left w:val="single" w:color="auto" w:sz="4" w:space="0"/>
              <w:right w:val="single" w:color="auto" w:sz="4" w:space="0"/>
            </w:tcBorders>
            <w:vAlign w:val="center"/>
          </w:tcPr>
          <w:p w14:paraId="522216F6">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4136" w:type="dxa"/>
            <w:tcBorders>
              <w:left w:val="single" w:color="auto" w:sz="4" w:space="0"/>
              <w:right w:val="single" w:color="auto" w:sz="4" w:space="0"/>
            </w:tcBorders>
            <w:vAlign w:val="center"/>
          </w:tcPr>
          <w:p w14:paraId="35E732BB">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安全方面成效</w:t>
            </w:r>
          </w:p>
          <w:p w14:paraId="4B3078F1">
            <w:pPr>
              <w:widowControl/>
              <w:kinsoku w:val="0"/>
              <w:autoSpaceDE w:val="0"/>
              <w:autoSpaceDN w:val="0"/>
              <w:adjustRightInd w:val="0"/>
              <w:jc w:val="center"/>
              <w:textAlignment w:val="baseline"/>
              <w:rPr>
                <w:rFonts w:ascii="仿宋_GB2312" w:hAnsi="仿宋_GB2312" w:eastAsia="仿宋_GB2312" w:cs="仿宋_GB2312"/>
                <w:b/>
                <w:bCs/>
                <w:snapToGrid w:val="0"/>
                <w:color w:val="auto"/>
                <w:kern w:val="0"/>
                <w:szCs w:val="21"/>
                <w:highlight w:val="none"/>
              </w:rPr>
            </w:pPr>
            <w:r>
              <w:rPr>
                <w:rFonts w:hint="eastAsia" w:ascii="仿宋_GB2312" w:hAnsi="仿宋_GB2312" w:eastAsia="仿宋_GB2312" w:cs="仿宋_GB2312"/>
                <w:b/>
                <w:bCs/>
                <w:snapToGrid w:val="0"/>
                <w:color w:val="auto"/>
                <w:kern w:val="0"/>
                <w:szCs w:val="21"/>
                <w:highlight w:val="none"/>
              </w:rPr>
              <w:t>（请尽量用若干定量指标描述）</w:t>
            </w:r>
          </w:p>
        </w:tc>
        <w:tc>
          <w:tcPr>
            <w:tcW w:w="1189" w:type="dxa"/>
            <w:tcBorders>
              <w:left w:val="single" w:color="auto" w:sz="4" w:space="0"/>
              <w:right w:val="single" w:color="auto" w:sz="4" w:space="0"/>
            </w:tcBorders>
            <w:vAlign w:val="center"/>
          </w:tcPr>
          <w:p w14:paraId="47C1246B">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c>
          <w:tcPr>
            <w:tcW w:w="1075" w:type="dxa"/>
            <w:tcBorders>
              <w:left w:val="single" w:color="auto" w:sz="4" w:space="0"/>
              <w:right w:val="single" w:color="auto" w:sz="4" w:space="0"/>
            </w:tcBorders>
            <w:vAlign w:val="center"/>
          </w:tcPr>
          <w:p w14:paraId="39E4B4B7">
            <w:pPr>
              <w:widowControl/>
              <w:kinsoku w:val="0"/>
              <w:autoSpaceDE w:val="0"/>
              <w:autoSpaceDN w:val="0"/>
              <w:adjustRightInd w:val="0"/>
              <w:textAlignment w:val="baseline"/>
              <w:rPr>
                <w:rFonts w:ascii="仿宋_GB2312" w:hAnsi="仿宋_GB2312" w:eastAsia="仿宋_GB2312" w:cs="仿宋_GB2312"/>
                <w:b/>
                <w:bCs/>
                <w:snapToGrid w:val="0"/>
                <w:color w:val="auto"/>
                <w:kern w:val="0"/>
                <w:szCs w:val="21"/>
                <w:highlight w:val="none"/>
              </w:rPr>
            </w:pPr>
          </w:p>
        </w:tc>
      </w:tr>
      <w:tr w14:paraId="4804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trPr>
        <w:tc>
          <w:tcPr>
            <w:tcW w:w="2118" w:type="dxa"/>
            <w:tcBorders>
              <w:top w:val="single" w:color="auto" w:sz="4" w:space="0"/>
              <w:left w:val="single" w:color="auto" w:sz="4" w:space="0"/>
              <w:right w:val="single" w:color="auto" w:sz="4" w:space="0"/>
            </w:tcBorders>
            <w:vAlign w:val="center"/>
          </w:tcPr>
          <w:p w14:paraId="2996BCAB">
            <w:pPr>
              <w:widowControl/>
              <w:kinsoku w:val="0"/>
              <w:autoSpaceDE w:val="0"/>
              <w:autoSpaceDN w:val="0"/>
              <w:adjustRightInd w:val="0"/>
              <w:spacing w:line="560" w:lineRule="exact"/>
              <w:jc w:val="center"/>
              <w:textAlignment w:val="baseline"/>
              <w:rPr>
                <w:rFonts w:ascii="仿宋_GB2312" w:hAnsi="仿宋_GB2312" w:eastAsia="仿宋_GB2312" w:cs="仿宋_GB2312"/>
                <w:b/>
                <w:snapToGrid w:val="0"/>
                <w:color w:val="auto"/>
                <w:kern w:val="0"/>
                <w:szCs w:val="21"/>
                <w:highlight w:val="none"/>
              </w:rPr>
            </w:pPr>
            <w:r>
              <w:rPr>
                <w:rFonts w:hint="eastAsia" w:ascii="仿宋_GB2312" w:hAnsi="仿宋_GB2312" w:eastAsia="仿宋_GB2312" w:cs="仿宋_GB2312"/>
                <w:b/>
                <w:snapToGrid w:val="0"/>
                <w:color w:val="auto"/>
                <w:kern w:val="0"/>
                <w:szCs w:val="21"/>
                <w:highlight w:val="none"/>
              </w:rPr>
              <w:t>对所使用数字化服务商及评价</w:t>
            </w:r>
          </w:p>
        </w:tc>
        <w:tc>
          <w:tcPr>
            <w:tcW w:w="6400" w:type="dxa"/>
            <w:gridSpan w:val="3"/>
            <w:tcBorders>
              <w:top w:val="single" w:color="auto" w:sz="4" w:space="0"/>
              <w:left w:val="single" w:color="auto" w:sz="4" w:space="0"/>
              <w:right w:val="single" w:color="auto" w:sz="4" w:space="0"/>
            </w:tcBorders>
            <w:vAlign w:val="center"/>
          </w:tcPr>
          <w:p w14:paraId="759DC603">
            <w:pPr>
              <w:widowControl/>
              <w:kinsoku w:val="0"/>
              <w:autoSpaceDE w:val="0"/>
              <w:autoSpaceDN w:val="0"/>
              <w:adjustRightInd w:val="0"/>
              <w:spacing w:line="560" w:lineRule="exact"/>
              <w:jc w:val="left"/>
              <w:textAlignment w:val="baseline"/>
              <w:rPr>
                <w:rFonts w:ascii="仿宋_GB2312" w:hAnsi="仿宋_GB2312" w:eastAsia="仿宋_GB2312" w:cs="仿宋_GB2312"/>
                <w:bCs/>
                <w:snapToGrid w:val="0"/>
                <w:color w:val="auto"/>
                <w:kern w:val="0"/>
                <w:szCs w:val="21"/>
                <w:highlight w:val="none"/>
              </w:rPr>
            </w:pPr>
            <w:r>
              <w:rPr>
                <w:rFonts w:hint="eastAsia" w:ascii="仿宋_GB2312" w:hAnsi="仿宋_GB2312" w:eastAsia="仿宋_GB2312" w:cs="仿宋_GB2312"/>
                <w:bCs/>
                <w:snapToGrid w:val="0"/>
                <w:color w:val="auto"/>
                <w:kern w:val="0"/>
                <w:szCs w:val="21"/>
                <w:highlight w:val="none"/>
              </w:rPr>
              <w:t>若使用多个数字化服务商及多项产品，请逐项列出。</w:t>
            </w:r>
          </w:p>
        </w:tc>
      </w:tr>
    </w:tbl>
    <w:p w14:paraId="73109093">
      <w:pPr>
        <w:adjustRightInd w:val="0"/>
        <w:snapToGrid w:val="0"/>
        <w:spacing w:line="360" w:lineRule="auto"/>
        <w:rPr>
          <w:rFonts w:ascii="Times New Roman" w:hAnsi="Times New Roman" w:eastAsia="仿宋_GB2312" w:cs="Times New Roman"/>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044BAB-8435-43C7-A1F4-5B2F5322DC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2E2DF1E-2035-46D4-944B-9621551B02EB}"/>
  </w:font>
  <w:font w:name="等线">
    <w:panose1 w:val="02010600030101010101"/>
    <w:charset w:val="86"/>
    <w:family w:val="auto"/>
    <w:pitch w:val="default"/>
    <w:sig w:usb0="A00002BF" w:usb1="38CF7CFA" w:usb2="00000016" w:usb3="00000000" w:csb0="0004000F" w:csb1="00000000"/>
    <w:embedRegular r:id="rId3" w:fontKey="{2B0BD49A-5742-415C-9770-FDD7997FBEF7}"/>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4" w:fontKey="{2006D813-B653-46C1-B519-837FEBE670E4}"/>
  </w:font>
  <w:font w:name="Calibri Light">
    <w:panose1 w:val="020F0302020204030204"/>
    <w:charset w:val="00"/>
    <w:family w:val="swiss"/>
    <w:pitch w:val="default"/>
    <w:sig w:usb0="E4002EFF" w:usb1="C200247B" w:usb2="00000009" w:usb3="00000000" w:csb0="200001FF" w:csb1="00000000"/>
  </w:font>
  <w:font w:name="MingLiU">
    <w:altName w:val="PMingLiU-ExtB"/>
    <w:panose1 w:val="02010609000101010101"/>
    <w:charset w:val="88"/>
    <w:family w:val="auto"/>
    <w:pitch w:val="default"/>
    <w:sig w:usb0="00000000" w:usb1="00000000" w:usb2="00000016" w:usb3="00000000" w:csb0="00100001" w:csb1="00000000"/>
  </w:font>
  <w:font w:name="方正公文小标宋">
    <w:panose1 w:val="02000500000000000000"/>
    <w:charset w:val="86"/>
    <w:family w:val="auto"/>
    <w:pitch w:val="default"/>
    <w:sig w:usb0="A00002BF" w:usb1="38CF7CFA" w:usb2="00000016" w:usb3="00000000" w:csb0="00040001" w:csb1="00000000"/>
    <w:embedRegular r:id="rId5" w:fontKey="{89550907-58C8-4687-BA01-53E007C68026}"/>
  </w:font>
  <w:font w:name="仿宋_GB2312">
    <w:panose1 w:val="02010609030101010101"/>
    <w:charset w:val="86"/>
    <w:family w:val="modern"/>
    <w:pitch w:val="default"/>
    <w:sig w:usb0="00000001" w:usb1="080E0000" w:usb2="00000000" w:usb3="00000000" w:csb0="00040000" w:csb1="00000000"/>
    <w:embedRegular r:id="rId6" w:fontKey="{B35994B5-DFF8-4495-90A3-83EAFD0ED1B6}"/>
  </w:font>
  <w:font w:name="楷体_GB2312">
    <w:panose1 w:val="02010609030101010101"/>
    <w:charset w:val="86"/>
    <w:family w:val="modern"/>
    <w:pitch w:val="default"/>
    <w:sig w:usb0="00000001" w:usb1="080E0000" w:usb2="00000000" w:usb3="00000000" w:csb0="00040000" w:csb1="00000000"/>
    <w:embedRegular r:id="rId7" w:fontKey="{042DCA05-BFF8-471F-B092-795583D40D8C}"/>
  </w:font>
  <w:font w:name="方正小标宋简体">
    <w:panose1 w:val="02000000000000000000"/>
    <w:charset w:val="86"/>
    <w:family w:val="auto"/>
    <w:pitch w:val="default"/>
    <w:sig w:usb0="00000001" w:usb1="080E0000" w:usb2="00000000" w:usb3="00000000" w:csb0="00040000" w:csb1="00000000"/>
    <w:embedRegular r:id="rId8" w:fontKey="{4F104C62-DD2F-4AE6-9A89-EC72BFCF496B}"/>
  </w:font>
  <w:font w:name="仿宋">
    <w:panose1 w:val="02010609060101010101"/>
    <w:charset w:val="86"/>
    <w:family w:val="modern"/>
    <w:pitch w:val="default"/>
    <w:sig w:usb0="800002BF" w:usb1="38CF7CFA" w:usb2="00000016" w:usb3="00000000" w:csb0="00040001" w:csb1="00000000"/>
    <w:embedRegular r:id="rId9" w:fontKey="{2C837281-5CC0-4C36-B856-FC29246732D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EE3D">
    <w:pPr>
      <w:pStyle w:val="5"/>
    </w:pPr>
    <w:r>
      <w:rPr>
        <w14:ligatures w14:val="standardContextual"/>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6BEED55">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65240"/>
    <w:multiLevelType w:val="multilevel"/>
    <w:tmpl w:val="1FE65240"/>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FmMWQ0ZTQ2NDAyMDRlMGMwNTdhOTEyMDRkN2IzMWYifQ=="/>
  </w:docVars>
  <w:rsids>
    <w:rsidRoot w:val="000036FE"/>
    <w:rsid w:val="000036FE"/>
    <w:rsid w:val="00006A7C"/>
    <w:rsid w:val="00052D6B"/>
    <w:rsid w:val="00057C41"/>
    <w:rsid w:val="000C0211"/>
    <w:rsid w:val="000C0FAE"/>
    <w:rsid w:val="000D781D"/>
    <w:rsid w:val="000E5644"/>
    <w:rsid w:val="00124ECC"/>
    <w:rsid w:val="0016462D"/>
    <w:rsid w:val="001A53E8"/>
    <w:rsid w:val="001B3D00"/>
    <w:rsid w:val="0020190F"/>
    <w:rsid w:val="00253505"/>
    <w:rsid w:val="00297B92"/>
    <w:rsid w:val="0031305D"/>
    <w:rsid w:val="00347022"/>
    <w:rsid w:val="003A16B9"/>
    <w:rsid w:val="00413D80"/>
    <w:rsid w:val="004439AD"/>
    <w:rsid w:val="004E7FEF"/>
    <w:rsid w:val="004F1131"/>
    <w:rsid w:val="00561D58"/>
    <w:rsid w:val="00585999"/>
    <w:rsid w:val="005B7902"/>
    <w:rsid w:val="005E26C6"/>
    <w:rsid w:val="006C3A4D"/>
    <w:rsid w:val="00730BEF"/>
    <w:rsid w:val="0076755C"/>
    <w:rsid w:val="00780AE5"/>
    <w:rsid w:val="00791847"/>
    <w:rsid w:val="007B68BB"/>
    <w:rsid w:val="007F62C4"/>
    <w:rsid w:val="008322BB"/>
    <w:rsid w:val="00834180"/>
    <w:rsid w:val="0083635E"/>
    <w:rsid w:val="008B1CC5"/>
    <w:rsid w:val="00914EBE"/>
    <w:rsid w:val="009438D3"/>
    <w:rsid w:val="009C5E48"/>
    <w:rsid w:val="009F04D2"/>
    <w:rsid w:val="00A164E9"/>
    <w:rsid w:val="00AD4947"/>
    <w:rsid w:val="00AF1E41"/>
    <w:rsid w:val="00B21A67"/>
    <w:rsid w:val="00B3543C"/>
    <w:rsid w:val="00C549AD"/>
    <w:rsid w:val="00C6415E"/>
    <w:rsid w:val="00CC0939"/>
    <w:rsid w:val="00CD29B0"/>
    <w:rsid w:val="00CD7826"/>
    <w:rsid w:val="00CF6408"/>
    <w:rsid w:val="00D55813"/>
    <w:rsid w:val="00E37EE6"/>
    <w:rsid w:val="00F22F95"/>
    <w:rsid w:val="00F52B25"/>
    <w:rsid w:val="00F96B49"/>
    <w:rsid w:val="00FA0451"/>
    <w:rsid w:val="01755AB3"/>
    <w:rsid w:val="026E0D49"/>
    <w:rsid w:val="02A05901"/>
    <w:rsid w:val="02B55C3C"/>
    <w:rsid w:val="02C22A22"/>
    <w:rsid w:val="034242C0"/>
    <w:rsid w:val="03766107"/>
    <w:rsid w:val="0385151F"/>
    <w:rsid w:val="039667A9"/>
    <w:rsid w:val="03AD58A1"/>
    <w:rsid w:val="04207E21"/>
    <w:rsid w:val="0426277A"/>
    <w:rsid w:val="05393890"/>
    <w:rsid w:val="05704DD8"/>
    <w:rsid w:val="059F7C3A"/>
    <w:rsid w:val="05C20D1F"/>
    <w:rsid w:val="05F117D8"/>
    <w:rsid w:val="062C51A3"/>
    <w:rsid w:val="06D82C35"/>
    <w:rsid w:val="07571DAC"/>
    <w:rsid w:val="07740BAF"/>
    <w:rsid w:val="07B0406E"/>
    <w:rsid w:val="07D24C8B"/>
    <w:rsid w:val="08EF562D"/>
    <w:rsid w:val="0923288D"/>
    <w:rsid w:val="09694018"/>
    <w:rsid w:val="097035F9"/>
    <w:rsid w:val="09781795"/>
    <w:rsid w:val="09C53944"/>
    <w:rsid w:val="0A854E82"/>
    <w:rsid w:val="0A982E07"/>
    <w:rsid w:val="0AAB0D8C"/>
    <w:rsid w:val="0AFA13CC"/>
    <w:rsid w:val="0B1C57E6"/>
    <w:rsid w:val="0B777455"/>
    <w:rsid w:val="0B901D30"/>
    <w:rsid w:val="0BCA7C9D"/>
    <w:rsid w:val="0BF605EA"/>
    <w:rsid w:val="0CF37CB7"/>
    <w:rsid w:val="0D314E4D"/>
    <w:rsid w:val="0D562B05"/>
    <w:rsid w:val="0D5B6331"/>
    <w:rsid w:val="0D701E19"/>
    <w:rsid w:val="0D7F02AE"/>
    <w:rsid w:val="0DAD0977"/>
    <w:rsid w:val="0DAD6BC9"/>
    <w:rsid w:val="0E082052"/>
    <w:rsid w:val="0E2350DD"/>
    <w:rsid w:val="0E26072A"/>
    <w:rsid w:val="0E4F5ED2"/>
    <w:rsid w:val="0F587009"/>
    <w:rsid w:val="0F6C6610"/>
    <w:rsid w:val="0F7D081D"/>
    <w:rsid w:val="0FCD5301"/>
    <w:rsid w:val="0FFE3938"/>
    <w:rsid w:val="0FFFD5D9"/>
    <w:rsid w:val="10B65D95"/>
    <w:rsid w:val="11017D5E"/>
    <w:rsid w:val="112C42A9"/>
    <w:rsid w:val="11981D46"/>
    <w:rsid w:val="11B524F0"/>
    <w:rsid w:val="11D6441F"/>
    <w:rsid w:val="120E1C01"/>
    <w:rsid w:val="121463CE"/>
    <w:rsid w:val="12A060CD"/>
    <w:rsid w:val="12A6008B"/>
    <w:rsid w:val="133D47C0"/>
    <w:rsid w:val="137A57A0"/>
    <w:rsid w:val="13B107B6"/>
    <w:rsid w:val="13FB5347"/>
    <w:rsid w:val="14224418"/>
    <w:rsid w:val="14521453"/>
    <w:rsid w:val="14613565"/>
    <w:rsid w:val="14863CD0"/>
    <w:rsid w:val="14A405FA"/>
    <w:rsid w:val="15072C81"/>
    <w:rsid w:val="15657D89"/>
    <w:rsid w:val="1615355E"/>
    <w:rsid w:val="162E2871"/>
    <w:rsid w:val="16766E2C"/>
    <w:rsid w:val="16822C24"/>
    <w:rsid w:val="16C10D2F"/>
    <w:rsid w:val="16CB00C0"/>
    <w:rsid w:val="17742506"/>
    <w:rsid w:val="17FDAC64"/>
    <w:rsid w:val="185C1D1C"/>
    <w:rsid w:val="188B3FAB"/>
    <w:rsid w:val="18D71473"/>
    <w:rsid w:val="19362169"/>
    <w:rsid w:val="1949557C"/>
    <w:rsid w:val="19EF40C6"/>
    <w:rsid w:val="1A540115"/>
    <w:rsid w:val="1A607EAE"/>
    <w:rsid w:val="1A856BB0"/>
    <w:rsid w:val="1AB5530F"/>
    <w:rsid w:val="1AD0039B"/>
    <w:rsid w:val="1AE41750"/>
    <w:rsid w:val="1B50328A"/>
    <w:rsid w:val="1B5468D6"/>
    <w:rsid w:val="1B6603B7"/>
    <w:rsid w:val="1BF7678A"/>
    <w:rsid w:val="1C1D316C"/>
    <w:rsid w:val="1C2038C7"/>
    <w:rsid w:val="1C930AA4"/>
    <w:rsid w:val="1CCB5AB9"/>
    <w:rsid w:val="1CF696F0"/>
    <w:rsid w:val="1DAA299B"/>
    <w:rsid w:val="1DE101C9"/>
    <w:rsid w:val="1E8A6837"/>
    <w:rsid w:val="1E8D6D3F"/>
    <w:rsid w:val="1EB31B66"/>
    <w:rsid w:val="1EBA1146"/>
    <w:rsid w:val="1ED32208"/>
    <w:rsid w:val="1EFFCE7B"/>
    <w:rsid w:val="1F2119CC"/>
    <w:rsid w:val="1F576995"/>
    <w:rsid w:val="1FE12702"/>
    <w:rsid w:val="1FEB2C56"/>
    <w:rsid w:val="209D6898"/>
    <w:rsid w:val="211C7E96"/>
    <w:rsid w:val="21235847"/>
    <w:rsid w:val="213205F2"/>
    <w:rsid w:val="21562C7C"/>
    <w:rsid w:val="21821CC3"/>
    <w:rsid w:val="21B502E4"/>
    <w:rsid w:val="22D80E71"/>
    <w:rsid w:val="22DB5B2F"/>
    <w:rsid w:val="23A91789"/>
    <w:rsid w:val="23B1063E"/>
    <w:rsid w:val="243365F2"/>
    <w:rsid w:val="2435301D"/>
    <w:rsid w:val="24C26FA6"/>
    <w:rsid w:val="252E0198"/>
    <w:rsid w:val="255E0351"/>
    <w:rsid w:val="25CE2B46"/>
    <w:rsid w:val="25D56865"/>
    <w:rsid w:val="264D771B"/>
    <w:rsid w:val="264F486A"/>
    <w:rsid w:val="26787104"/>
    <w:rsid w:val="26B66402"/>
    <w:rsid w:val="26E03714"/>
    <w:rsid w:val="27277595"/>
    <w:rsid w:val="27457A1B"/>
    <w:rsid w:val="27767BD4"/>
    <w:rsid w:val="281D55C8"/>
    <w:rsid w:val="28305FD5"/>
    <w:rsid w:val="289E73E3"/>
    <w:rsid w:val="28D15A0A"/>
    <w:rsid w:val="29064F88"/>
    <w:rsid w:val="298505A2"/>
    <w:rsid w:val="29CE012D"/>
    <w:rsid w:val="29DC4C0E"/>
    <w:rsid w:val="29F033EF"/>
    <w:rsid w:val="2A181417"/>
    <w:rsid w:val="2A2C5816"/>
    <w:rsid w:val="2A88034A"/>
    <w:rsid w:val="2A8C5825"/>
    <w:rsid w:val="2AAE58D7"/>
    <w:rsid w:val="2AE73582"/>
    <w:rsid w:val="2C131E96"/>
    <w:rsid w:val="2C4C171B"/>
    <w:rsid w:val="2C825ED6"/>
    <w:rsid w:val="2D9214E0"/>
    <w:rsid w:val="2D9E60D7"/>
    <w:rsid w:val="2E193E8A"/>
    <w:rsid w:val="2E222864"/>
    <w:rsid w:val="2E5F5866"/>
    <w:rsid w:val="2E7C6418"/>
    <w:rsid w:val="2E7E4C4B"/>
    <w:rsid w:val="2E852806"/>
    <w:rsid w:val="2E8B18B4"/>
    <w:rsid w:val="2E913546"/>
    <w:rsid w:val="2EAE5EA6"/>
    <w:rsid w:val="2EF7D872"/>
    <w:rsid w:val="2F9432ED"/>
    <w:rsid w:val="2FDE6C5E"/>
    <w:rsid w:val="2FFEED62"/>
    <w:rsid w:val="30A13F14"/>
    <w:rsid w:val="30A457B2"/>
    <w:rsid w:val="31322DBE"/>
    <w:rsid w:val="31903FF0"/>
    <w:rsid w:val="31AF2660"/>
    <w:rsid w:val="31C51E84"/>
    <w:rsid w:val="31D200FD"/>
    <w:rsid w:val="31D9148B"/>
    <w:rsid w:val="322A1CE7"/>
    <w:rsid w:val="32674CE9"/>
    <w:rsid w:val="32B37F2E"/>
    <w:rsid w:val="32D65918"/>
    <w:rsid w:val="3381627F"/>
    <w:rsid w:val="33900270"/>
    <w:rsid w:val="33D71E67"/>
    <w:rsid w:val="340C5B48"/>
    <w:rsid w:val="34496D9C"/>
    <w:rsid w:val="344B59E6"/>
    <w:rsid w:val="34A779A9"/>
    <w:rsid w:val="34CE72A2"/>
    <w:rsid w:val="35092088"/>
    <w:rsid w:val="36154A5C"/>
    <w:rsid w:val="363B3C2E"/>
    <w:rsid w:val="367B0D63"/>
    <w:rsid w:val="369462C9"/>
    <w:rsid w:val="36C95F72"/>
    <w:rsid w:val="36CB4432"/>
    <w:rsid w:val="36D16BD5"/>
    <w:rsid w:val="36F31241"/>
    <w:rsid w:val="3727DABB"/>
    <w:rsid w:val="37A367C3"/>
    <w:rsid w:val="37EF1A09"/>
    <w:rsid w:val="381476C1"/>
    <w:rsid w:val="388A34DF"/>
    <w:rsid w:val="38BC2088"/>
    <w:rsid w:val="38DD6A80"/>
    <w:rsid w:val="39153875"/>
    <w:rsid w:val="394B7113"/>
    <w:rsid w:val="397F500E"/>
    <w:rsid w:val="39873EC3"/>
    <w:rsid w:val="39995128"/>
    <w:rsid w:val="39A93E39"/>
    <w:rsid w:val="39B4B7DE"/>
    <w:rsid w:val="39B81D01"/>
    <w:rsid w:val="39D709A6"/>
    <w:rsid w:val="3A286EDC"/>
    <w:rsid w:val="3A804B9A"/>
    <w:rsid w:val="3AE570F3"/>
    <w:rsid w:val="3B7D557D"/>
    <w:rsid w:val="3BAF33B0"/>
    <w:rsid w:val="3BB54D17"/>
    <w:rsid w:val="3BFA6BCE"/>
    <w:rsid w:val="3C0D6901"/>
    <w:rsid w:val="3C1C6064"/>
    <w:rsid w:val="3C1E28BD"/>
    <w:rsid w:val="3C357C06"/>
    <w:rsid w:val="3CB86AE7"/>
    <w:rsid w:val="3CFE38F8"/>
    <w:rsid w:val="3D023F8C"/>
    <w:rsid w:val="3D0575D8"/>
    <w:rsid w:val="3D2A069D"/>
    <w:rsid w:val="3D7A7FC6"/>
    <w:rsid w:val="3DB57251"/>
    <w:rsid w:val="3E555F06"/>
    <w:rsid w:val="3E6B7393"/>
    <w:rsid w:val="3F0D4E6A"/>
    <w:rsid w:val="3F2A7462"/>
    <w:rsid w:val="3F2F4DE1"/>
    <w:rsid w:val="3F9133A5"/>
    <w:rsid w:val="3F984734"/>
    <w:rsid w:val="3FFE86E1"/>
    <w:rsid w:val="3FFF1645"/>
    <w:rsid w:val="40C357E1"/>
    <w:rsid w:val="40E868EE"/>
    <w:rsid w:val="40FA31CC"/>
    <w:rsid w:val="40FA4F7A"/>
    <w:rsid w:val="412A5860"/>
    <w:rsid w:val="41702BE3"/>
    <w:rsid w:val="4170480B"/>
    <w:rsid w:val="41800C81"/>
    <w:rsid w:val="419929E5"/>
    <w:rsid w:val="41A53138"/>
    <w:rsid w:val="41D02A65"/>
    <w:rsid w:val="42044303"/>
    <w:rsid w:val="42657940"/>
    <w:rsid w:val="429F227D"/>
    <w:rsid w:val="430345BA"/>
    <w:rsid w:val="433169EA"/>
    <w:rsid w:val="44246EDE"/>
    <w:rsid w:val="448B4867"/>
    <w:rsid w:val="449000D0"/>
    <w:rsid w:val="44A154AA"/>
    <w:rsid w:val="44B00772"/>
    <w:rsid w:val="44B32010"/>
    <w:rsid w:val="45AA3413"/>
    <w:rsid w:val="45E060B7"/>
    <w:rsid w:val="45FE550D"/>
    <w:rsid w:val="46240BDA"/>
    <w:rsid w:val="46761EE9"/>
    <w:rsid w:val="46A00372"/>
    <w:rsid w:val="46AF06D2"/>
    <w:rsid w:val="46DB43B4"/>
    <w:rsid w:val="47174AD8"/>
    <w:rsid w:val="473A2575"/>
    <w:rsid w:val="47736694"/>
    <w:rsid w:val="47AA68B0"/>
    <w:rsid w:val="47E32C0C"/>
    <w:rsid w:val="47F2196D"/>
    <w:rsid w:val="483D056E"/>
    <w:rsid w:val="48A52F20"/>
    <w:rsid w:val="495B742C"/>
    <w:rsid w:val="496370FE"/>
    <w:rsid w:val="499A34A3"/>
    <w:rsid w:val="49B16FA7"/>
    <w:rsid w:val="49DC28E0"/>
    <w:rsid w:val="4A987CDE"/>
    <w:rsid w:val="4ABB7F7A"/>
    <w:rsid w:val="4ABE239D"/>
    <w:rsid w:val="4B032D3D"/>
    <w:rsid w:val="4B272E10"/>
    <w:rsid w:val="4B4734B2"/>
    <w:rsid w:val="4C4F6AC2"/>
    <w:rsid w:val="4CEA0599"/>
    <w:rsid w:val="4D341814"/>
    <w:rsid w:val="4D622825"/>
    <w:rsid w:val="4D6B3488"/>
    <w:rsid w:val="4E7312E2"/>
    <w:rsid w:val="4E9702AC"/>
    <w:rsid w:val="4E9A0634"/>
    <w:rsid w:val="4EA604F0"/>
    <w:rsid w:val="4EDF116D"/>
    <w:rsid w:val="4F764366"/>
    <w:rsid w:val="4FAF6E47"/>
    <w:rsid w:val="4FDA48F5"/>
    <w:rsid w:val="500D6A78"/>
    <w:rsid w:val="501A73E7"/>
    <w:rsid w:val="5086682B"/>
    <w:rsid w:val="50C3182D"/>
    <w:rsid w:val="511364AD"/>
    <w:rsid w:val="51CA3CFC"/>
    <w:rsid w:val="51E110B3"/>
    <w:rsid w:val="51EE0B2B"/>
    <w:rsid w:val="52021180"/>
    <w:rsid w:val="521A36CE"/>
    <w:rsid w:val="52271947"/>
    <w:rsid w:val="52946FDD"/>
    <w:rsid w:val="53101E19"/>
    <w:rsid w:val="531225F7"/>
    <w:rsid w:val="532742F5"/>
    <w:rsid w:val="53293249"/>
    <w:rsid w:val="537D655F"/>
    <w:rsid w:val="53807561"/>
    <w:rsid w:val="539F20DD"/>
    <w:rsid w:val="53A566BE"/>
    <w:rsid w:val="54907C78"/>
    <w:rsid w:val="549A06FC"/>
    <w:rsid w:val="54E81862"/>
    <w:rsid w:val="54EC5D3D"/>
    <w:rsid w:val="54F2448F"/>
    <w:rsid w:val="5563713A"/>
    <w:rsid w:val="56350AD7"/>
    <w:rsid w:val="56BB581C"/>
    <w:rsid w:val="574C432A"/>
    <w:rsid w:val="57BB500C"/>
    <w:rsid w:val="584C035A"/>
    <w:rsid w:val="58870389"/>
    <w:rsid w:val="589C4E3D"/>
    <w:rsid w:val="58A91308"/>
    <w:rsid w:val="58AE2DC2"/>
    <w:rsid w:val="58BF0B2C"/>
    <w:rsid w:val="58C12AF6"/>
    <w:rsid w:val="58C46142"/>
    <w:rsid w:val="58EA204C"/>
    <w:rsid w:val="58ED7447"/>
    <w:rsid w:val="59BB5797"/>
    <w:rsid w:val="5A64198B"/>
    <w:rsid w:val="5A8F9EF8"/>
    <w:rsid w:val="5AC32B55"/>
    <w:rsid w:val="5B4F676A"/>
    <w:rsid w:val="5C502193"/>
    <w:rsid w:val="5C875E04"/>
    <w:rsid w:val="5CC41971"/>
    <w:rsid w:val="5D211DB5"/>
    <w:rsid w:val="5DDEA639"/>
    <w:rsid w:val="5E113BD7"/>
    <w:rsid w:val="5E8414E3"/>
    <w:rsid w:val="5E8FB261"/>
    <w:rsid w:val="5ED93424"/>
    <w:rsid w:val="5F17346F"/>
    <w:rsid w:val="5F3F4774"/>
    <w:rsid w:val="5F530220"/>
    <w:rsid w:val="5FEA46E0"/>
    <w:rsid w:val="60996106"/>
    <w:rsid w:val="60B74194"/>
    <w:rsid w:val="60B82A30"/>
    <w:rsid w:val="60CA0D04"/>
    <w:rsid w:val="60F3113A"/>
    <w:rsid w:val="61481D2E"/>
    <w:rsid w:val="61565DA5"/>
    <w:rsid w:val="615E35D8"/>
    <w:rsid w:val="619863BE"/>
    <w:rsid w:val="61C15914"/>
    <w:rsid w:val="61E86EF6"/>
    <w:rsid w:val="62205443"/>
    <w:rsid w:val="624731C8"/>
    <w:rsid w:val="626B639A"/>
    <w:rsid w:val="62BDB181"/>
    <w:rsid w:val="62D44A37"/>
    <w:rsid w:val="6398398F"/>
    <w:rsid w:val="639F1C85"/>
    <w:rsid w:val="63E57025"/>
    <w:rsid w:val="64055F8C"/>
    <w:rsid w:val="640D6BEF"/>
    <w:rsid w:val="64836EB1"/>
    <w:rsid w:val="64F8164D"/>
    <w:rsid w:val="657038D9"/>
    <w:rsid w:val="659D8811"/>
    <w:rsid w:val="6600306E"/>
    <w:rsid w:val="661B0211"/>
    <w:rsid w:val="66291CDA"/>
    <w:rsid w:val="667F2361"/>
    <w:rsid w:val="668D04BB"/>
    <w:rsid w:val="66903B07"/>
    <w:rsid w:val="6695111E"/>
    <w:rsid w:val="671958AB"/>
    <w:rsid w:val="671D183F"/>
    <w:rsid w:val="6739419F"/>
    <w:rsid w:val="675608AD"/>
    <w:rsid w:val="67917B37"/>
    <w:rsid w:val="67FB09FA"/>
    <w:rsid w:val="68355734"/>
    <w:rsid w:val="68F20AA9"/>
    <w:rsid w:val="68F9B389"/>
    <w:rsid w:val="69472BA3"/>
    <w:rsid w:val="69B76B09"/>
    <w:rsid w:val="6A49294B"/>
    <w:rsid w:val="6A527A52"/>
    <w:rsid w:val="6B0F149F"/>
    <w:rsid w:val="6B114A92"/>
    <w:rsid w:val="6B5B46E4"/>
    <w:rsid w:val="6B7B4FF9"/>
    <w:rsid w:val="6B80224F"/>
    <w:rsid w:val="6BBFF0CC"/>
    <w:rsid w:val="6C0E5BFA"/>
    <w:rsid w:val="6C417D7E"/>
    <w:rsid w:val="6C7C0DB6"/>
    <w:rsid w:val="6C9F4AA4"/>
    <w:rsid w:val="6CD043BC"/>
    <w:rsid w:val="6DC120AD"/>
    <w:rsid w:val="6DCD73EF"/>
    <w:rsid w:val="6E1B3C17"/>
    <w:rsid w:val="6E70494A"/>
    <w:rsid w:val="6E8B1784"/>
    <w:rsid w:val="6EF68A5D"/>
    <w:rsid w:val="6F082F43"/>
    <w:rsid w:val="6F4420D9"/>
    <w:rsid w:val="6F737718"/>
    <w:rsid w:val="6F9B1553"/>
    <w:rsid w:val="6FAF7A95"/>
    <w:rsid w:val="6FBD2C17"/>
    <w:rsid w:val="6FC82066"/>
    <w:rsid w:val="6FD809F9"/>
    <w:rsid w:val="6FE32776"/>
    <w:rsid w:val="6FFF94AB"/>
    <w:rsid w:val="6FFFBCC9"/>
    <w:rsid w:val="71DF49D3"/>
    <w:rsid w:val="7217156F"/>
    <w:rsid w:val="722B7823"/>
    <w:rsid w:val="726A345E"/>
    <w:rsid w:val="726A7902"/>
    <w:rsid w:val="726C71D7"/>
    <w:rsid w:val="728651EF"/>
    <w:rsid w:val="729A3D44"/>
    <w:rsid w:val="72CF691C"/>
    <w:rsid w:val="730600C3"/>
    <w:rsid w:val="73DC65DE"/>
    <w:rsid w:val="741B7106"/>
    <w:rsid w:val="74273CFD"/>
    <w:rsid w:val="746C5785"/>
    <w:rsid w:val="757944DF"/>
    <w:rsid w:val="758E6024"/>
    <w:rsid w:val="75BE3E3C"/>
    <w:rsid w:val="76264F28"/>
    <w:rsid w:val="763C33BD"/>
    <w:rsid w:val="768A2321"/>
    <w:rsid w:val="76E112D7"/>
    <w:rsid w:val="77260FFF"/>
    <w:rsid w:val="775F730A"/>
    <w:rsid w:val="78CD11E6"/>
    <w:rsid w:val="78CE0AFF"/>
    <w:rsid w:val="78FD3EA5"/>
    <w:rsid w:val="79144124"/>
    <w:rsid w:val="796C5D0E"/>
    <w:rsid w:val="79A454A8"/>
    <w:rsid w:val="79AFE429"/>
    <w:rsid w:val="79C63670"/>
    <w:rsid w:val="79D26337"/>
    <w:rsid w:val="7A5C393B"/>
    <w:rsid w:val="7A88301C"/>
    <w:rsid w:val="7AA70AD0"/>
    <w:rsid w:val="7ADB139D"/>
    <w:rsid w:val="7B38241D"/>
    <w:rsid w:val="7B5F0566"/>
    <w:rsid w:val="7B5F9F4D"/>
    <w:rsid w:val="7B890DF9"/>
    <w:rsid w:val="7BF7C408"/>
    <w:rsid w:val="7BF803CE"/>
    <w:rsid w:val="7C4720D5"/>
    <w:rsid w:val="7C7A09B4"/>
    <w:rsid w:val="7CAF2AE1"/>
    <w:rsid w:val="7D1BE3BD"/>
    <w:rsid w:val="7D254B52"/>
    <w:rsid w:val="7D3E03A8"/>
    <w:rsid w:val="7D6438CC"/>
    <w:rsid w:val="7DDA9487"/>
    <w:rsid w:val="7DE247F1"/>
    <w:rsid w:val="7DE79562"/>
    <w:rsid w:val="7DEFC7B1"/>
    <w:rsid w:val="7DFF8497"/>
    <w:rsid w:val="7E3DC368"/>
    <w:rsid w:val="7E490CE6"/>
    <w:rsid w:val="7E5F5E41"/>
    <w:rsid w:val="7E7A2C7B"/>
    <w:rsid w:val="7EA06B86"/>
    <w:rsid w:val="7EE24C2A"/>
    <w:rsid w:val="7EFFD9C3"/>
    <w:rsid w:val="7F6EE757"/>
    <w:rsid w:val="7F6EEA73"/>
    <w:rsid w:val="7F7D2A23"/>
    <w:rsid w:val="7F7F2C3F"/>
    <w:rsid w:val="7F811AFC"/>
    <w:rsid w:val="7F855D7C"/>
    <w:rsid w:val="7FAC60B9"/>
    <w:rsid w:val="7FB62B39"/>
    <w:rsid w:val="7FBB66DE"/>
    <w:rsid w:val="7FC7596C"/>
    <w:rsid w:val="7FF797EC"/>
    <w:rsid w:val="7FF7F7EE"/>
    <w:rsid w:val="81CF60C6"/>
    <w:rsid w:val="8B5E6EAF"/>
    <w:rsid w:val="8FFF0BA3"/>
    <w:rsid w:val="906F1CD0"/>
    <w:rsid w:val="97FFA0C6"/>
    <w:rsid w:val="9DD9076E"/>
    <w:rsid w:val="9DDD5448"/>
    <w:rsid w:val="9FFB254D"/>
    <w:rsid w:val="A3931F40"/>
    <w:rsid w:val="B7BBF18C"/>
    <w:rsid w:val="BB7F3539"/>
    <w:rsid w:val="BB7F81E3"/>
    <w:rsid w:val="BBFB925A"/>
    <w:rsid w:val="BC751AB5"/>
    <w:rsid w:val="BDDBE3F2"/>
    <w:rsid w:val="BDDD2005"/>
    <w:rsid w:val="BF67DB08"/>
    <w:rsid w:val="BFFDD750"/>
    <w:rsid w:val="BFFFC21B"/>
    <w:rsid w:val="C0F73358"/>
    <w:rsid w:val="CB7FE54C"/>
    <w:rsid w:val="DB6D294D"/>
    <w:rsid w:val="DDB85464"/>
    <w:rsid w:val="DDFF795F"/>
    <w:rsid w:val="DFEFAEB2"/>
    <w:rsid w:val="E1FE7678"/>
    <w:rsid w:val="E38FACF9"/>
    <w:rsid w:val="E7BB2818"/>
    <w:rsid w:val="E96D80FA"/>
    <w:rsid w:val="EBFF591D"/>
    <w:rsid w:val="EE7E13FF"/>
    <w:rsid w:val="EFDE8C72"/>
    <w:rsid w:val="EFF7E576"/>
    <w:rsid w:val="F3BEDC6C"/>
    <w:rsid w:val="F56F7F58"/>
    <w:rsid w:val="F6FC90EF"/>
    <w:rsid w:val="F7DF2F38"/>
    <w:rsid w:val="F7DFFD39"/>
    <w:rsid w:val="F7F6C723"/>
    <w:rsid w:val="F8A72BDA"/>
    <w:rsid w:val="F9B3680C"/>
    <w:rsid w:val="F9F68DD4"/>
    <w:rsid w:val="FA6486DE"/>
    <w:rsid w:val="FA871FB3"/>
    <w:rsid w:val="FAFD4056"/>
    <w:rsid w:val="FB76A544"/>
    <w:rsid w:val="FB7F8F68"/>
    <w:rsid w:val="FB89A3C4"/>
    <w:rsid w:val="FBB98480"/>
    <w:rsid w:val="FBBEDFA3"/>
    <w:rsid w:val="FBF6CE19"/>
    <w:rsid w:val="FE9B5A8F"/>
    <w:rsid w:val="FF79A221"/>
    <w:rsid w:val="FF9FE2D2"/>
    <w:rsid w:val="FFABF661"/>
    <w:rsid w:val="FFBB0D8E"/>
    <w:rsid w:val="FFE7B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link w:val="17"/>
    <w:semiHidden/>
    <w:unhideWhenUsed/>
    <w:qFormat/>
    <w:uiPriority w:val="99"/>
    <w:pPr>
      <w:tabs>
        <w:tab w:val="left" w:pos="420"/>
      </w:tabs>
    </w:pPr>
    <w:rPr>
      <w:rFonts w:hint="eastAsia" w:ascii="Microsoft YaHei UI" w:hAnsi="Calibri" w:eastAsia="Microsoft YaHei UI" w:cs="Times New Roman"/>
      <w:sz w:val="18"/>
      <w:szCs w:val="18"/>
    </w:rPr>
  </w:style>
  <w:style w:type="paragraph" w:styleId="3">
    <w:name w:val="Body Text"/>
    <w:basedOn w:val="1"/>
    <w:next w:val="4"/>
    <w:link w:val="18"/>
    <w:semiHidden/>
    <w:unhideWhenUsed/>
    <w:qFormat/>
    <w:uiPriority w:val="99"/>
    <w:pPr>
      <w:tabs>
        <w:tab w:val="left" w:pos="420"/>
      </w:tabs>
      <w:spacing w:after="120" w:line="360" w:lineRule="auto"/>
      <w:ind w:firstLine="200" w:firstLineChars="200"/>
    </w:pPr>
    <w:rPr>
      <w:rFonts w:ascii="Arial" w:hAnsi="Arial" w:eastAsia="宋体" w:cs="Times New Roman"/>
      <w:sz w:val="32"/>
      <w:szCs w:val="24"/>
    </w:rPr>
  </w:style>
  <w:style w:type="paragraph" w:styleId="4">
    <w:name w:val="Title"/>
    <w:basedOn w:val="1"/>
    <w:link w:val="20"/>
    <w:qFormat/>
    <w:uiPriority w:val="10"/>
    <w:pPr>
      <w:spacing w:before="240" w:after="60"/>
      <w:jc w:val="center"/>
      <w:outlineLvl w:val="0"/>
    </w:pPr>
    <w:rPr>
      <w:rFonts w:ascii="Arial" w:hAnsi="Arial"/>
      <w:b/>
      <w:sz w:val="3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1">
    <w:name w:val="FollowedHyperlink"/>
    <w:basedOn w:val="10"/>
    <w:semiHidden/>
    <w:unhideWhenUsed/>
    <w:qFormat/>
    <w:uiPriority w:val="99"/>
    <w:rPr>
      <w:color w:val="800080"/>
      <w:u w:val="single"/>
    </w:rPr>
  </w:style>
  <w:style w:type="character" w:styleId="12">
    <w:name w:val="Emphasis"/>
    <w:basedOn w:val="10"/>
    <w:qFormat/>
    <w:uiPriority w:val="20"/>
    <w:rPr>
      <w:i/>
    </w:rPr>
  </w:style>
  <w:style w:type="character" w:styleId="13">
    <w:name w:val="Hyperlink"/>
    <w:basedOn w:val="10"/>
    <w:unhideWhenUsed/>
    <w:qFormat/>
    <w:uiPriority w:val="99"/>
    <w:rPr>
      <w:color w:val="0026E5"/>
      <w:u w:val="single"/>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样式1"/>
    <w:basedOn w:val="1"/>
    <w:qFormat/>
    <w:uiPriority w:val="0"/>
    <w:pPr>
      <w:tabs>
        <w:tab w:val="left" w:pos="420"/>
      </w:tabs>
      <w:spacing w:line="440" w:lineRule="exact"/>
    </w:pPr>
    <w:rPr>
      <w:rFonts w:ascii="Times New Roman" w:hAnsi="Times New Roman" w:eastAsia="楷体" w:cs="Times New Roman"/>
    </w:rPr>
  </w:style>
  <w:style w:type="character" w:customStyle="1" w:styleId="17">
    <w:name w:val="文档结构图 字符"/>
    <w:basedOn w:val="10"/>
    <w:link w:val="2"/>
    <w:qFormat/>
    <w:uiPriority w:val="0"/>
    <w:rPr>
      <w:rFonts w:hint="eastAsia" w:ascii="Microsoft YaHei UI" w:hAnsi="Calibri" w:eastAsia="Microsoft YaHei UI" w:cs="Times New Roman"/>
      <w:kern w:val="2"/>
      <w:sz w:val="18"/>
      <w:szCs w:val="18"/>
    </w:rPr>
  </w:style>
  <w:style w:type="character" w:customStyle="1" w:styleId="18">
    <w:name w:val="正文文本 字符"/>
    <w:basedOn w:val="10"/>
    <w:link w:val="3"/>
    <w:qFormat/>
    <w:uiPriority w:val="0"/>
    <w:rPr>
      <w:rFonts w:hint="default" w:ascii="Arial" w:hAnsi="Arial" w:cs="Arial"/>
      <w:kern w:val="2"/>
      <w:sz w:val="32"/>
      <w:szCs w:val="24"/>
    </w:rPr>
  </w:style>
  <w:style w:type="paragraph" w:customStyle="1" w:styleId="19">
    <w:name w:val="段"/>
    <w:basedOn w:val="1"/>
    <w:qFormat/>
    <w:uiPriority w:val="0"/>
    <w:pPr>
      <w:widowControl/>
      <w:tabs>
        <w:tab w:val="left" w:pos="420"/>
      </w:tabs>
      <w:autoSpaceDE w:val="0"/>
      <w:autoSpaceDN w:val="0"/>
      <w:ind w:firstLine="200" w:firstLineChars="200"/>
    </w:pPr>
    <w:rPr>
      <w:rFonts w:hint="eastAsia" w:ascii="宋体" w:hAnsi="Calibri" w:eastAsia="宋体" w:cs="Times New Roman"/>
      <w:kern w:val="0"/>
      <w:szCs w:val="20"/>
    </w:rPr>
  </w:style>
  <w:style w:type="character" w:customStyle="1" w:styleId="20">
    <w:name w:val="标题 字符"/>
    <w:basedOn w:val="10"/>
    <w:link w:val="4"/>
    <w:qFormat/>
    <w:uiPriority w:val="0"/>
    <w:rPr>
      <w:rFonts w:ascii="Calibri Light" w:hAnsi="Calibri Light" w:eastAsia="宋体" w:cs="Times New Roman"/>
      <w:b/>
      <w:bCs/>
      <w:kern w:val="2"/>
      <w:sz w:val="32"/>
      <w:szCs w:val="32"/>
    </w:rPr>
  </w:style>
  <w:style w:type="paragraph" w:customStyle="1" w:styleId="21">
    <w:name w:val="其他"/>
    <w:basedOn w:val="1"/>
    <w:qFormat/>
    <w:uiPriority w:val="0"/>
    <w:pPr>
      <w:widowControl/>
      <w:shd w:val="clear" w:color="auto" w:fill="FFFFFF"/>
      <w:spacing w:line="360" w:lineRule="auto"/>
      <w:ind w:firstLine="932" w:firstLineChars="200"/>
      <w:jc w:val="left"/>
    </w:pPr>
    <w:rPr>
      <w:rFonts w:hint="eastAsia" w:ascii="MingLiU" w:hAnsi="MingLiU" w:eastAsia="MingLiU" w:cs="Times New Roman"/>
      <w:sz w:val="16"/>
      <w:szCs w:val="16"/>
    </w:rPr>
  </w:style>
  <w:style w:type="paragraph" w:customStyle="1" w:styleId="22">
    <w:name w:val="表格标题"/>
    <w:basedOn w:val="1"/>
    <w:qFormat/>
    <w:uiPriority w:val="0"/>
    <w:pPr>
      <w:widowControl/>
      <w:shd w:val="clear" w:color="auto" w:fill="FFFFFF"/>
      <w:spacing w:line="360" w:lineRule="auto"/>
      <w:ind w:firstLine="932" w:firstLineChars="200"/>
      <w:jc w:val="left"/>
    </w:pPr>
    <w:rPr>
      <w:rFonts w:hint="eastAsia" w:ascii="MingLiU" w:hAnsi="MingLiU" w:eastAsia="MingLiU" w:cs="Times New Roman"/>
      <w:sz w:val="28"/>
      <w:szCs w:val="28"/>
    </w:rPr>
  </w:style>
  <w:style w:type="character" w:customStyle="1" w:styleId="23">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12491</Words>
  <Characters>13177</Characters>
  <Lines>101</Lines>
  <Paragraphs>28</Paragraphs>
  <TotalTime>2</TotalTime>
  <ScaleCrop>false</ScaleCrop>
  <LinksUpToDate>false</LinksUpToDate>
  <CharactersWithSpaces>13568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2024-04-06T12:10:00Z</dcterms:created>
  <dc:creator>奕丹 贺</dc:creator>
  <cp:lastModifiedBy>昒昕</cp:lastModifiedBy>
  <cp:lastPrinted>2024-06-30T01:02:00Z</cp:lastPrinted>
  <dcterms:modified xsi:type="dcterms:W3CDTF">2024-07-23T01:07:14Z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136BFCB3DA794D39B6372519971E33D0_12</vt:lpwstr>
  </property>
</Properties>
</file>